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F053" w14:textId="70383B09" w:rsidR="000222C1" w:rsidRDefault="00B36425" w:rsidP="000222C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83DB810" wp14:editId="73404885">
            <wp:extent cx="1674341" cy="1674341"/>
            <wp:effectExtent l="0" t="0" r="2540" b="2540"/>
            <wp:docPr id="1970799979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799979" name="Picture 1" descr="Image.png"/>
                    <pic:cNvPicPr>
                      <a:picLocks noChangeAspect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781" cy="168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0FF72" w14:textId="77777777" w:rsidR="001C79BB" w:rsidRPr="001C79BB" w:rsidRDefault="001C79BB" w:rsidP="001C79BB">
      <w:pPr>
        <w:pStyle w:val="TableParagraph"/>
        <w:spacing w:before="44" w:line="240" w:lineRule="auto"/>
        <w:ind w:left="1680" w:right="2068"/>
        <w:jc w:val="center"/>
        <w:rPr>
          <w:rFonts w:ascii="Arial"/>
          <w:b/>
          <w:sz w:val="24"/>
          <w:szCs w:val="24"/>
        </w:rPr>
      </w:pPr>
      <w:r w:rsidRPr="001C79BB">
        <w:rPr>
          <w:rFonts w:ascii="Arial" w:eastAsia="Times New Roman" w:hAnsi="Arial" w:cs="Arial"/>
          <w:b/>
          <w:bCs/>
          <w:sz w:val="24"/>
          <w:szCs w:val="24"/>
        </w:rPr>
        <w:t>STATE OF HAWAI</w:t>
      </w:r>
      <w:r w:rsidRPr="001C79BB">
        <w:rPr>
          <w:rFonts w:ascii="Arial" w:eastAsia="Times New Roman" w:hAnsi="Arial" w:cs="Arial"/>
          <w:b/>
          <w:bCs/>
          <w:caps/>
          <w:sz w:val="24"/>
          <w:szCs w:val="24"/>
        </w:rPr>
        <w:t>ʻ</w:t>
      </w:r>
      <w:r w:rsidRPr="001C79BB">
        <w:rPr>
          <w:rFonts w:ascii="Arial" w:eastAsia="Times New Roman" w:hAnsi="Arial" w:cs="Arial"/>
          <w:b/>
          <w:bCs/>
          <w:sz w:val="24"/>
          <w:szCs w:val="24"/>
        </w:rPr>
        <w:t xml:space="preserve">I | KA </w:t>
      </w:r>
      <w:proofErr w:type="spellStart"/>
      <w:r w:rsidRPr="001C79BB">
        <w:rPr>
          <w:rFonts w:ascii="Arial" w:eastAsia="Times New Roman" w:hAnsi="Arial" w:cs="Arial"/>
          <w:b/>
          <w:bCs/>
          <w:caps/>
          <w:sz w:val="24"/>
          <w:szCs w:val="24"/>
        </w:rPr>
        <w:t>Mokuʻāina</w:t>
      </w:r>
      <w:proofErr w:type="spellEnd"/>
      <w:r w:rsidRPr="001C79BB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 o Hawaiʻi</w:t>
      </w:r>
    </w:p>
    <w:p w14:paraId="2F248EF5" w14:textId="77777777" w:rsidR="001C79BB" w:rsidRPr="001C79BB" w:rsidRDefault="001C79BB" w:rsidP="001C79BB">
      <w:pPr>
        <w:keepNext/>
        <w:ind w:left="115" w:right="159" w:hanging="90"/>
        <w:jc w:val="center"/>
        <w:outlineLvl w:val="2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1C79BB">
        <w:rPr>
          <w:rFonts w:ascii="Arial" w:eastAsia="Times New Roman" w:hAnsi="Arial" w:cs="Arial"/>
          <w:b/>
          <w:bCs/>
          <w:sz w:val="18"/>
          <w:szCs w:val="18"/>
        </w:rPr>
        <w:t xml:space="preserve">DEPARTMENT OF ACCOUNTING AND GENERAL SERVICES | KA </w:t>
      </w:r>
      <w:proofErr w:type="spellStart"/>
      <w:r w:rsidRPr="001C79BB">
        <w:rPr>
          <w:rFonts w:ascii="Arial" w:eastAsia="Times New Roman" w:hAnsi="Arial" w:cs="Arial"/>
          <w:b/>
          <w:bCs/>
          <w:caps/>
          <w:sz w:val="18"/>
          <w:szCs w:val="18"/>
        </w:rPr>
        <w:t>ʻOihana</w:t>
      </w:r>
      <w:proofErr w:type="spellEnd"/>
      <w:r w:rsidRPr="001C79BB">
        <w:rPr>
          <w:rFonts w:ascii="Arial" w:eastAsia="Times New Roman" w:hAnsi="Arial" w:cs="Arial"/>
          <w:b/>
          <w:bCs/>
          <w:caps/>
          <w:sz w:val="18"/>
          <w:szCs w:val="18"/>
        </w:rPr>
        <w:t xml:space="preserve"> LOIHELU A LAWELAWE Laulā</w:t>
      </w:r>
    </w:p>
    <w:p w14:paraId="1BD0208A" w14:textId="16B729DB" w:rsidR="007E6011" w:rsidRDefault="007E6011" w:rsidP="007E6011">
      <w:pPr>
        <w:rPr>
          <w:b/>
          <w:bCs/>
          <w:u w:val="single"/>
        </w:rPr>
      </w:pPr>
      <w:r w:rsidRPr="007E6011">
        <w:rPr>
          <w:b/>
          <w:bCs/>
          <w:u w:val="single"/>
        </w:rPr>
        <w:t>MISSION:</w:t>
      </w:r>
    </w:p>
    <w:p w14:paraId="63F09B5A" w14:textId="0B1C3F32" w:rsidR="007E6011" w:rsidRDefault="007E6011" w:rsidP="007E6011">
      <w:r w:rsidRPr="007E6011">
        <w:t>To provide safe, reliable, and cost-effective vehicle and transportation services that support State operations, while advancing sustainability through the transition to low-emission and zero-emission vehicles.</w:t>
      </w:r>
    </w:p>
    <w:p w14:paraId="025935F5" w14:textId="4655BADA" w:rsidR="007E6011" w:rsidRDefault="007E6011" w:rsidP="007E6011">
      <w:pPr>
        <w:rPr>
          <w:b/>
          <w:bCs/>
          <w:u w:val="single"/>
        </w:rPr>
      </w:pPr>
      <w:r w:rsidRPr="007E6011">
        <w:rPr>
          <w:b/>
          <w:bCs/>
          <w:u w:val="single"/>
        </w:rPr>
        <w:t>Role of the Motor Pool</w:t>
      </w:r>
      <w:r>
        <w:rPr>
          <w:b/>
          <w:bCs/>
          <w:u w:val="single"/>
        </w:rPr>
        <w:t>:</w:t>
      </w:r>
    </w:p>
    <w:p w14:paraId="06977EB4" w14:textId="757301E8" w:rsidR="007E6011" w:rsidRDefault="007E6011" w:rsidP="007E6011">
      <w:r>
        <w:t xml:space="preserve">~ </w:t>
      </w:r>
      <w:r w:rsidRPr="007E6011">
        <w:t xml:space="preserve">Offering </w:t>
      </w:r>
      <w:r>
        <w:t xml:space="preserve">long-term leasing and </w:t>
      </w:r>
      <w:r w:rsidRPr="007E6011">
        <w:t xml:space="preserve">daily rental </w:t>
      </w:r>
      <w:r>
        <w:t xml:space="preserve">of </w:t>
      </w:r>
      <w:r w:rsidRPr="007E6011">
        <w:t>vehicles for official State business, reducing the need for individual agency-owned vehicles.</w:t>
      </w:r>
    </w:p>
    <w:p w14:paraId="56C9B99C" w14:textId="2F0360E3" w:rsidR="007E6011" w:rsidRDefault="007E6011" w:rsidP="007E6011">
      <w:r>
        <w:t xml:space="preserve">~ </w:t>
      </w:r>
      <w:r w:rsidRPr="007E6011">
        <w:t>Managing acquisition, maintenance, and replacement of State fleet vehicles to ensure efficiency and accountability.</w:t>
      </w:r>
    </w:p>
    <w:p w14:paraId="73FBF1A6" w14:textId="1E3EA816" w:rsidR="007E6011" w:rsidRDefault="007E6011" w:rsidP="007E6011">
      <w:r>
        <w:t xml:space="preserve">~ </w:t>
      </w:r>
      <w:r w:rsidRPr="007E6011">
        <w:t>Maximizing shared use of vehicles to reduce overall fleet size and operating costs.</w:t>
      </w:r>
    </w:p>
    <w:p w14:paraId="7A8AF273" w14:textId="2441855B" w:rsidR="007E6011" w:rsidRDefault="007E6011" w:rsidP="007E6011">
      <w:r>
        <w:t xml:space="preserve">~ </w:t>
      </w:r>
      <w:r w:rsidRPr="007E6011">
        <w:t>Ensuring vehicles are properly maintained, safe, and compliant with all regulations.</w:t>
      </w:r>
    </w:p>
    <w:p w14:paraId="0750C5BA" w14:textId="2A1552A8" w:rsidR="007E6011" w:rsidRDefault="007E6011" w:rsidP="007E6011">
      <w:r>
        <w:t xml:space="preserve">~ </w:t>
      </w:r>
      <w:r w:rsidRPr="007E6011">
        <w:t>Supporting the State’s climate goals by integrating electric vehicles (EVs) and low-emission vehicles into the fleet.</w:t>
      </w:r>
    </w:p>
    <w:p w14:paraId="7E313F46" w14:textId="7D1D98E1" w:rsidR="00A25803" w:rsidRDefault="00A25803" w:rsidP="007E6011">
      <w:r>
        <w:t>~ P</w:t>
      </w:r>
      <w:r w:rsidRPr="00A25803">
        <w:t>lanning and deployment of EV charging infrastructure to support fleet electrification.</w:t>
      </w:r>
    </w:p>
    <w:p w14:paraId="64DC63EC" w14:textId="691CFEB4" w:rsidR="00A25803" w:rsidRDefault="00A25803" w:rsidP="000222C1">
      <w:pPr>
        <w:jc w:val="center"/>
      </w:pPr>
      <w:r>
        <w:rPr>
          <w:noProof/>
        </w:rPr>
        <w:drawing>
          <wp:inline distT="0" distB="0" distL="0" distR="0" wp14:anchorId="18642A3E" wp14:editId="0C18F601">
            <wp:extent cx="5844746" cy="2533136"/>
            <wp:effectExtent l="0" t="0" r="3810" b="635"/>
            <wp:docPr id="2821935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7FC06D6-8D57-CC9D-1651-FAE09FC0F6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1F45F8" w14:textId="34EEEA5C" w:rsidR="00084979" w:rsidRPr="007E6011" w:rsidRDefault="00084979" w:rsidP="00084979">
      <w:r>
        <w:rPr>
          <w:noProof/>
        </w:rPr>
        <w:drawing>
          <wp:inline distT="0" distB="0" distL="0" distR="0" wp14:anchorId="4CA18FC2" wp14:editId="51B04B29">
            <wp:extent cx="821724" cy="821724"/>
            <wp:effectExtent l="0" t="0" r="0" b="0"/>
            <wp:docPr id="1627817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1780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45" cy="82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979" w:rsidRPr="007E6011" w:rsidSect="001C79BB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11"/>
    <w:rsid w:val="000222C1"/>
    <w:rsid w:val="00065F06"/>
    <w:rsid w:val="00084979"/>
    <w:rsid w:val="000A6CA4"/>
    <w:rsid w:val="000E4197"/>
    <w:rsid w:val="001C79BB"/>
    <w:rsid w:val="00397142"/>
    <w:rsid w:val="00413F19"/>
    <w:rsid w:val="00447CB2"/>
    <w:rsid w:val="004D479D"/>
    <w:rsid w:val="007E6011"/>
    <w:rsid w:val="00911ED7"/>
    <w:rsid w:val="00A25803"/>
    <w:rsid w:val="00B36425"/>
    <w:rsid w:val="00B86ADB"/>
    <w:rsid w:val="00C5162C"/>
    <w:rsid w:val="00C560D9"/>
    <w:rsid w:val="00E0215D"/>
    <w:rsid w:val="00F8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CF32"/>
  <w15:chartTrackingRefBased/>
  <w15:docId w15:val="{8785FD7B-E5F0-4350-A5D9-D539B582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01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C79BB"/>
    <w:pPr>
      <w:widowControl w:val="0"/>
      <w:autoSpaceDE w:val="0"/>
      <w:autoSpaceDN w:val="0"/>
      <w:spacing w:before="11" w:after="0" w:line="218" w:lineRule="exact"/>
    </w:pPr>
    <w:rPr>
      <w:rFonts w:ascii="Courier New" w:eastAsia="Courier New" w:hAnsi="Courier New" w:cs="Courier New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cid:F3BB0540-D5C3-40B5-9AA7-541243CFE672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winsvr08\AMD%20Shared\BUSINESS%20SECTION\MOTOR%20POOL%20MATTERS\Emission%20Tracking\Motor%20Pool%20Fleet%20Emission%20EVSE%20Tracking-final%202.6.26%20ssl%20mj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00B050"/>
                </a:solidFill>
              </a:rPr>
              <a:t>Motor Pool - Lifecycle Emission</a:t>
            </a:r>
          </a:p>
        </c:rich>
      </c:tx>
      <c:layout>
        <c:manualLayout>
          <c:xMode val="edge"/>
          <c:yMode val="edge"/>
          <c:x val="0.30813917952036812"/>
          <c:y val="2.18878217538521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4861036206090673E-2"/>
          <c:y val="0.12800727755711228"/>
          <c:w val="0.88275518731800318"/>
          <c:h val="0.62010948698737611"/>
        </c:manualLayout>
      </c:layout>
      <c:lineChart>
        <c:grouping val="standard"/>
        <c:varyColors val="0"/>
        <c:ser>
          <c:idx val="0"/>
          <c:order val="0"/>
          <c:tx>
            <c:strRef>
              <c:f>'Line Chart'!$B$6</c:f>
              <c:strCache>
                <c:ptCount val="1"/>
                <c:pt idx="0">
                  <c:v>ICE </c:v>
                </c:pt>
              </c:strCache>
            </c:strRef>
          </c:tx>
          <c:spPr>
            <a:ln w="7620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'Line Chart'!$A$7:$A$20</c:f>
              <c:strCache>
                <c:ptCount val="14"/>
                <c:pt idx="0">
                  <c:v>Baseline</c:v>
                </c:pt>
                <c:pt idx="1">
                  <c:v>FY23</c:v>
                </c:pt>
                <c:pt idx="2">
                  <c:v>FY24</c:v>
                </c:pt>
                <c:pt idx="3">
                  <c:v>FY25</c:v>
                </c:pt>
                <c:pt idx="4">
                  <c:v>FY26</c:v>
                </c:pt>
                <c:pt idx="5">
                  <c:v>FY27</c:v>
                </c:pt>
                <c:pt idx="6">
                  <c:v>FY28</c:v>
                </c:pt>
                <c:pt idx="7">
                  <c:v>FY29</c:v>
                </c:pt>
                <c:pt idx="8">
                  <c:v>FY30</c:v>
                </c:pt>
                <c:pt idx="9">
                  <c:v>FY31</c:v>
                </c:pt>
                <c:pt idx="10">
                  <c:v>FY32</c:v>
                </c:pt>
                <c:pt idx="11">
                  <c:v>FY33</c:v>
                </c:pt>
                <c:pt idx="12">
                  <c:v>FY34</c:v>
                </c:pt>
                <c:pt idx="13">
                  <c:v>FY35</c:v>
                </c:pt>
              </c:strCache>
            </c:strRef>
          </c:cat>
          <c:val>
            <c:numRef>
              <c:f>'Line Chart'!$B$7:$B$20</c:f>
              <c:numCache>
                <c:formatCode>General</c:formatCode>
                <c:ptCount val="14"/>
                <c:pt idx="0">
                  <c:v>402</c:v>
                </c:pt>
                <c:pt idx="1">
                  <c:v>366</c:v>
                </c:pt>
                <c:pt idx="2">
                  <c:v>347</c:v>
                </c:pt>
                <c:pt idx="3">
                  <c:v>318</c:v>
                </c:pt>
                <c:pt idx="4">
                  <c:v>288</c:v>
                </c:pt>
                <c:pt idx="5">
                  <c:v>252</c:v>
                </c:pt>
                <c:pt idx="6">
                  <c:v>222</c:v>
                </c:pt>
                <c:pt idx="7">
                  <c:v>186</c:v>
                </c:pt>
                <c:pt idx="8">
                  <c:v>148</c:v>
                </c:pt>
                <c:pt idx="9">
                  <c:v>93</c:v>
                </c:pt>
                <c:pt idx="10">
                  <c:v>29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B5D-4F9B-B9C1-DF6F709BD7FF}"/>
            </c:ext>
          </c:extLst>
        </c:ser>
        <c:ser>
          <c:idx val="1"/>
          <c:order val="1"/>
          <c:tx>
            <c:strRef>
              <c:f>'Line Chart'!$C$6</c:f>
              <c:strCache>
                <c:ptCount val="1"/>
                <c:pt idx="0">
                  <c:v>BEV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strRef>
              <c:f>'Line Chart'!$A$7:$A$20</c:f>
              <c:strCache>
                <c:ptCount val="14"/>
                <c:pt idx="0">
                  <c:v>Baseline</c:v>
                </c:pt>
                <c:pt idx="1">
                  <c:v>FY23</c:v>
                </c:pt>
                <c:pt idx="2">
                  <c:v>FY24</c:v>
                </c:pt>
                <c:pt idx="3">
                  <c:v>FY25</c:v>
                </c:pt>
                <c:pt idx="4">
                  <c:v>FY26</c:v>
                </c:pt>
                <c:pt idx="5">
                  <c:v>FY27</c:v>
                </c:pt>
                <c:pt idx="6">
                  <c:v>FY28</c:v>
                </c:pt>
                <c:pt idx="7">
                  <c:v>FY29</c:v>
                </c:pt>
                <c:pt idx="8">
                  <c:v>FY30</c:v>
                </c:pt>
                <c:pt idx="9">
                  <c:v>FY31</c:v>
                </c:pt>
                <c:pt idx="10">
                  <c:v>FY32</c:v>
                </c:pt>
                <c:pt idx="11">
                  <c:v>FY33</c:v>
                </c:pt>
                <c:pt idx="12">
                  <c:v>FY34</c:v>
                </c:pt>
                <c:pt idx="13">
                  <c:v>FY35</c:v>
                </c:pt>
              </c:strCache>
            </c:strRef>
          </c:cat>
          <c:val>
            <c:numRef>
              <c:f>'Line Chart'!$C$7:$C$20</c:f>
              <c:numCache>
                <c:formatCode>General</c:formatCode>
                <c:ptCount val="14"/>
                <c:pt idx="1">
                  <c:v>4</c:v>
                </c:pt>
                <c:pt idx="2">
                  <c:v>4</c:v>
                </c:pt>
                <c:pt idx="3">
                  <c:v>7</c:v>
                </c:pt>
                <c:pt idx="4">
                  <c:v>13</c:v>
                </c:pt>
                <c:pt idx="5">
                  <c:v>27</c:v>
                </c:pt>
                <c:pt idx="6">
                  <c:v>45</c:v>
                </c:pt>
                <c:pt idx="7">
                  <c:v>74</c:v>
                </c:pt>
                <c:pt idx="8">
                  <c:v>94</c:v>
                </c:pt>
                <c:pt idx="9">
                  <c:v>145</c:v>
                </c:pt>
                <c:pt idx="10">
                  <c:v>209</c:v>
                </c:pt>
                <c:pt idx="11">
                  <c:v>246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B5D-4F9B-B9C1-DF6F709BD7FF}"/>
            </c:ext>
          </c:extLst>
        </c:ser>
        <c:ser>
          <c:idx val="2"/>
          <c:order val="2"/>
          <c:tx>
            <c:strRef>
              <c:f>'Line Chart'!$D$6</c:f>
              <c:strCache>
                <c:ptCount val="1"/>
                <c:pt idx="0">
                  <c:v>PHEV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strRef>
              <c:f>'Line Chart'!$A$7:$A$20</c:f>
              <c:strCache>
                <c:ptCount val="14"/>
                <c:pt idx="0">
                  <c:v>Baseline</c:v>
                </c:pt>
                <c:pt idx="1">
                  <c:v>FY23</c:v>
                </c:pt>
                <c:pt idx="2">
                  <c:v>FY24</c:v>
                </c:pt>
                <c:pt idx="3">
                  <c:v>FY25</c:v>
                </c:pt>
                <c:pt idx="4">
                  <c:v>FY26</c:v>
                </c:pt>
                <c:pt idx="5">
                  <c:v>FY27</c:v>
                </c:pt>
                <c:pt idx="6">
                  <c:v>FY28</c:v>
                </c:pt>
                <c:pt idx="7">
                  <c:v>FY29</c:v>
                </c:pt>
                <c:pt idx="8">
                  <c:v>FY30</c:v>
                </c:pt>
                <c:pt idx="9">
                  <c:v>FY31</c:v>
                </c:pt>
                <c:pt idx="10">
                  <c:v>FY32</c:v>
                </c:pt>
                <c:pt idx="11">
                  <c:v>FY33</c:v>
                </c:pt>
                <c:pt idx="12">
                  <c:v>FY34</c:v>
                </c:pt>
                <c:pt idx="13">
                  <c:v>FY35</c:v>
                </c:pt>
              </c:strCache>
            </c:strRef>
          </c:cat>
          <c:val>
            <c:numRef>
              <c:f>'Line Chart'!$D$7:$D$20</c:f>
              <c:numCache>
                <c:formatCode>General</c:formatCode>
                <c:ptCount val="14"/>
                <c:pt idx="3">
                  <c:v>7</c:v>
                </c:pt>
                <c:pt idx="4">
                  <c:v>13</c:v>
                </c:pt>
                <c:pt idx="5">
                  <c:v>13</c:v>
                </c:pt>
                <c:pt idx="6">
                  <c:v>13</c:v>
                </c:pt>
                <c:pt idx="7">
                  <c:v>13</c:v>
                </c:pt>
                <c:pt idx="8">
                  <c:v>13</c:v>
                </c:pt>
                <c:pt idx="9">
                  <c:v>13</c:v>
                </c:pt>
                <c:pt idx="10">
                  <c:v>13</c:v>
                </c:pt>
                <c:pt idx="11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B5D-4F9B-B9C1-DF6F709BD7FF}"/>
            </c:ext>
          </c:extLst>
        </c:ser>
        <c:ser>
          <c:idx val="3"/>
          <c:order val="3"/>
          <c:tx>
            <c:strRef>
              <c:f>'Line Chart'!$E$6</c:f>
              <c:strCache>
                <c:ptCount val="1"/>
                <c:pt idx="0">
                  <c:v>HEV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strRef>
              <c:f>'Line Chart'!$A$7:$A$20</c:f>
              <c:strCache>
                <c:ptCount val="14"/>
                <c:pt idx="0">
                  <c:v>Baseline</c:v>
                </c:pt>
                <c:pt idx="1">
                  <c:v>FY23</c:v>
                </c:pt>
                <c:pt idx="2">
                  <c:v>FY24</c:v>
                </c:pt>
                <c:pt idx="3">
                  <c:v>FY25</c:v>
                </c:pt>
                <c:pt idx="4">
                  <c:v>FY26</c:v>
                </c:pt>
                <c:pt idx="5">
                  <c:v>FY27</c:v>
                </c:pt>
                <c:pt idx="6">
                  <c:v>FY28</c:v>
                </c:pt>
                <c:pt idx="7">
                  <c:v>FY29</c:v>
                </c:pt>
                <c:pt idx="8">
                  <c:v>FY30</c:v>
                </c:pt>
                <c:pt idx="9">
                  <c:v>FY31</c:v>
                </c:pt>
                <c:pt idx="10">
                  <c:v>FY32</c:v>
                </c:pt>
                <c:pt idx="11">
                  <c:v>FY33</c:v>
                </c:pt>
                <c:pt idx="12">
                  <c:v>FY34</c:v>
                </c:pt>
                <c:pt idx="13">
                  <c:v>FY35</c:v>
                </c:pt>
              </c:strCache>
            </c:strRef>
          </c:cat>
          <c:val>
            <c:numRef>
              <c:f>'Line Chart'!$E$7:$E$20</c:f>
              <c:numCache>
                <c:formatCode>General</c:formatCode>
                <c:ptCount val="14"/>
                <c:pt idx="1">
                  <c:v>32</c:v>
                </c:pt>
                <c:pt idx="2">
                  <c:v>51</c:v>
                </c:pt>
                <c:pt idx="3">
                  <c:v>70</c:v>
                </c:pt>
                <c:pt idx="4">
                  <c:v>88</c:v>
                </c:pt>
                <c:pt idx="5">
                  <c:v>110</c:v>
                </c:pt>
                <c:pt idx="6">
                  <c:v>122</c:v>
                </c:pt>
                <c:pt idx="7">
                  <c:v>129</c:v>
                </c:pt>
                <c:pt idx="8">
                  <c:v>147</c:v>
                </c:pt>
                <c:pt idx="9">
                  <c:v>151</c:v>
                </c:pt>
                <c:pt idx="10">
                  <c:v>151</c:v>
                </c:pt>
                <c:pt idx="11">
                  <c:v>149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B5D-4F9B-B9C1-DF6F709BD7FF}"/>
            </c:ext>
          </c:extLst>
        </c:ser>
        <c:ser>
          <c:idx val="4"/>
          <c:order val="4"/>
          <c:tx>
            <c:strRef>
              <c:f>'Line Chart'!$F$6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Pt>
            <c:idx val="2"/>
            <c:marker>
              <c:symbol val="none"/>
            </c:marker>
            <c:bubble3D val="0"/>
            <c:spPr>
              <a:ln w="28575" cap="rnd">
                <a:solidFill>
                  <a:srgbClr val="FF66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3B5D-4F9B-B9C1-DF6F709BD7FF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28575" cap="rnd">
                <a:solidFill>
                  <a:srgbClr val="FF66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B5D-4F9B-B9C1-DF6F709BD7FF}"/>
              </c:ext>
            </c:extLst>
          </c:dPt>
          <c:cat>
            <c:strRef>
              <c:f>'Line Chart'!$A$7:$A$20</c:f>
              <c:strCache>
                <c:ptCount val="14"/>
                <c:pt idx="0">
                  <c:v>Baseline</c:v>
                </c:pt>
                <c:pt idx="1">
                  <c:v>FY23</c:v>
                </c:pt>
                <c:pt idx="2">
                  <c:v>FY24</c:v>
                </c:pt>
                <c:pt idx="3">
                  <c:v>FY25</c:v>
                </c:pt>
                <c:pt idx="4">
                  <c:v>FY26</c:v>
                </c:pt>
                <c:pt idx="5">
                  <c:v>FY27</c:v>
                </c:pt>
                <c:pt idx="6">
                  <c:v>FY28</c:v>
                </c:pt>
                <c:pt idx="7">
                  <c:v>FY29</c:v>
                </c:pt>
                <c:pt idx="8">
                  <c:v>FY30</c:v>
                </c:pt>
                <c:pt idx="9">
                  <c:v>FY31</c:v>
                </c:pt>
                <c:pt idx="10">
                  <c:v>FY32</c:v>
                </c:pt>
                <c:pt idx="11">
                  <c:v>FY33</c:v>
                </c:pt>
                <c:pt idx="12">
                  <c:v>FY34</c:v>
                </c:pt>
                <c:pt idx="13">
                  <c:v>FY35</c:v>
                </c:pt>
              </c:strCache>
            </c:strRef>
          </c:cat>
          <c:val>
            <c:numRef>
              <c:f>'Line Chart'!$F$7:$F$20</c:f>
              <c:numCache>
                <c:formatCode>#,##0</c:formatCode>
                <c:ptCount val="14"/>
                <c:pt idx="0">
                  <c:v>94470</c:v>
                </c:pt>
                <c:pt idx="1">
                  <c:v>92278</c:v>
                </c:pt>
                <c:pt idx="2">
                  <c:v>91385</c:v>
                </c:pt>
                <c:pt idx="3">
                  <c:v>88331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3B5D-4F9B-B9C1-DF6F709BD7FF}"/>
            </c:ext>
          </c:extLst>
        </c:ser>
        <c:ser>
          <c:idx val="5"/>
          <c:order val="5"/>
          <c:tx>
            <c:strRef>
              <c:f>'Line Chart'!$G$6</c:f>
              <c:strCache>
                <c:ptCount val="1"/>
              </c:strCache>
            </c:strRef>
          </c:tx>
          <c:spPr>
            <a:ln w="28575" cap="rnd">
              <a:solidFill>
                <a:schemeClr val="accent6"/>
              </a:solidFill>
              <a:prstDash val="dash"/>
              <a:round/>
              <a:tailEnd type="triangle"/>
            </a:ln>
            <a:effectLst/>
          </c:spPr>
          <c:marker>
            <c:symbol val="none"/>
          </c:marker>
          <c:dPt>
            <c:idx val="3"/>
            <c:marker>
              <c:symbol val="none"/>
            </c:marker>
            <c:bubble3D val="0"/>
            <c:spPr>
              <a:ln w="28575" cap="rnd">
                <a:solidFill>
                  <a:srgbClr val="FF6600"/>
                </a:solidFill>
                <a:prstDash val="dash"/>
                <a:round/>
                <a:tailEnd type="triangle"/>
              </a:ln>
              <a:effectLst/>
            </c:spPr>
            <c:extLst>
              <c:ext xmlns:c16="http://schemas.microsoft.com/office/drawing/2014/chart" uri="{C3380CC4-5D6E-409C-BE32-E72D297353CC}">
                <c16:uniqueId val="{0000000A-3B5D-4F9B-B9C1-DF6F709BD7FF}"/>
              </c:ext>
            </c:extLst>
          </c:dPt>
          <c:dPt>
            <c:idx val="4"/>
            <c:marker>
              <c:symbol val="none"/>
            </c:marker>
            <c:bubble3D val="0"/>
            <c:spPr>
              <a:ln w="28575" cap="rnd">
                <a:solidFill>
                  <a:srgbClr val="FF6600"/>
                </a:solidFill>
                <a:prstDash val="dash"/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0C-3B5D-4F9B-B9C1-DF6F709BD7FF}"/>
              </c:ext>
            </c:extLst>
          </c:dPt>
          <c:dPt>
            <c:idx val="5"/>
            <c:marker>
              <c:symbol val="none"/>
            </c:marker>
            <c:bubble3D val="0"/>
            <c:spPr>
              <a:ln w="28575" cap="rnd">
                <a:solidFill>
                  <a:srgbClr val="FF6600"/>
                </a:solidFill>
                <a:prstDash val="dash"/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0E-3B5D-4F9B-B9C1-DF6F709BD7FF}"/>
              </c:ext>
            </c:extLst>
          </c:dPt>
          <c:dPt>
            <c:idx val="6"/>
            <c:marker>
              <c:symbol val="none"/>
            </c:marker>
            <c:bubble3D val="0"/>
            <c:spPr>
              <a:ln w="28575" cap="rnd">
                <a:solidFill>
                  <a:srgbClr val="FF6600"/>
                </a:solidFill>
                <a:prstDash val="dash"/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10-3B5D-4F9B-B9C1-DF6F709BD7FF}"/>
              </c:ext>
            </c:extLst>
          </c:dPt>
          <c:dPt>
            <c:idx val="7"/>
            <c:marker>
              <c:symbol val="none"/>
            </c:marker>
            <c:bubble3D val="0"/>
            <c:spPr>
              <a:ln w="28575" cap="rnd">
                <a:solidFill>
                  <a:schemeClr val="accent2">
                    <a:lumMod val="40000"/>
                    <a:lumOff val="60000"/>
                  </a:schemeClr>
                </a:solidFill>
                <a:prstDash val="dash"/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12-3B5D-4F9B-B9C1-DF6F709BD7FF}"/>
              </c:ext>
            </c:extLst>
          </c:dPt>
          <c:dPt>
            <c:idx val="8"/>
            <c:marker>
              <c:symbol val="none"/>
            </c:marker>
            <c:bubble3D val="0"/>
            <c:spPr>
              <a:ln w="28575" cap="rnd">
                <a:solidFill>
                  <a:schemeClr val="accent3">
                    <a:lumMod val="20000"/>
                    <a:lumOff val="80000"/>
                  </a:schemeClr>
                </a:solidFill>
                <a:prstDash val="dash"/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14-3B5D-4F9B-B9C1-DF6F709BD7FF}"/>
              </c:ext>
            </c:extLst>
          </c:dPt>
          <c:dPt>
            <c:idx val="9"/>
            <c:marker>
              <c:symbol val="none"/>
            </c:marker>
            <c:bubble3D val="0"/>
            <c:spPr>
              <a:ln w="28575" cap="rnd">
                <a:solidFill>
                  <a:schemeClr val="accent3">
                    <a:lumMod val="40000"/>
                    <a:lumOff val="60000"/>
                  </a:schemeClr>
                </a:solidFill>
                <a:prstDash val="dash"/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16-3B5D-4F9B-B9C1-DF6F709BD7FF}"/>
              </c:ext>
            </c:extLst>
          </c:dPt>
          <c:dPt>
            <c:idx val="10"/>
            <c:marker>
              <c:symbol val="none"/>
            </c:marker>
            <c:bubble3D val="0"/>
            <c:spPr>
              <a:ln w="28575" cap="rnd">
                <a:solidFill>
                  <a:schemeClr val="accent3">
                    <a:lumMod val="40000"/>
                    <a:lumOff val="60000"/>
                  </a:schemeClr>
                </a:solidFill>
                <a:prstDash val="dash"/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18-3B5D-4F9B-B9C1-DF6F709BD7FF}"/>
              </c:ext>
            </c:extLst>
          </c:dPt>
          <c:cat>
            <c:strRef>
              <c:f>'Line Chart'!$A$7:$A$20</c:f>
              <c:strCache>
                <c:ptCount val="14"/>
                <c:pt idx="0">
                  <c:v>Baseline</c:v>
                </c:pt>
                <c:pt idx="1">
                  <c:v>FY23</c:v>
                </c:pt>
                <c:pt idx="2">
                  <c:v>FY24</c:v>
                </c:pt>
                <c:pt idx="3">
                  <c:v>FY25</c:v>
                </c:pt>
                <c:pt idx="4">
                  <c:v>FY26</c:v>
                </c:pt>
                <c:pt idx="5">
                  <c:v>FY27</c:v>
                </c:pt>
                <c:pt idx="6">
                  <c:v>FY28</c:v>
                </c:pt>
                <c:pt idx="7">
                  <c:v>FY29</c:v>
                </c:pt>
                <c:pt idx="8">
                  <c:v>FY30</c:v>
                </c:pt>
                <c:pt idx="9">
                  <c:v>FY31</c:v>
                </c:pt>
                <c:pt idx="10">
                  <c:v>FY32</c:v>
                </c:pt>
                <c:pt idx="11">
                  <c:v>FY33</c:v>
                </c:pt>
                <c:pt idx="12">
                  <c:v>FY34</c:v>
                </c:pt>
                <c:pt idx="13">
                  <c:v>FY35</c:v>
                </c:pt>
              </c:strCache>
            </c:strRef>
          </c:cat>
          <c:val>
            <c:numRef>
              <c:f>'Line Chart'!$G$7:$G$20</c:f>
              <c:numCache>
                <c:formatCode>General</c:formatCode>
                <c:ptCount val="14"/>
                <c:pt idx="3" formatCode="#,##0">
                  <c:v>88331</c:v>
                </c:pt>
                <c:pt idx="4" formatCode="#,##0">
                  <c:v>87766</c:v>
                </c:pt>
                <c:pt idx="5" formatCode="#,##0">
                  <c:v>84152</c:v>
                </c:pt>
                <c:pt idx="6" formatCode="#,##0">
                  <c:v>80492</c:v>
                </c:pt>
                <c:pt idx="7" formatCode="#,##0">
                  <c:v>75175</c:v>
                </c:pt>
                <c:pt idx="8" formatCode="#,##0">
                  <c:v>70889</c:v>
                </c:pt>
                <c:pt idx="9" formatCode="#,##0">
                  <c:v>61929</c:v>
                </c:pt>
                <c:pt idx="10" formatCode="#,##0">
                  <c:v>50921</c:v>
                </c:pt>
                <c:pt idx="11" formatCode="#,##0">
                  <c:v>44651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3B5D-4F9B-B9C1-DF6F709BD7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15182024"/>
        <c:axId val="915187784"/>
      </c:lineChart>
      <c:catAx>
        <c:axId val="915182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5187784"/>
        <c:crosses val="autoZero"/>
        <c:auto val="1"/>
        <c:lblAlgn val="ctr"/>
        <c:lblOffset val="100"/>
        <c:noMultiLvlLbl val="0"/>
      </c:catAx>
      <c:valAx>
        <c:axId val="915187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5182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solidFill>
            <a:srgbClr val="00B05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0.80137</cdr:x>
      <cdr:y>0.44734</cdr:y>
    </cdr:from>
    <cdr:to>
      <cdr:x>0.99658</cdr:x>
      <cdr:y>0.52942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6CD69FCA-09FE-4D65-9A4C-2D51BEFC01D8}"/>
            </a:ext>
          </a:extLst>
        </cdr:cNvPr>
        <cdr:cNvSpPr txBox="1"/>
      </cdr:nvSpPr>
      <cdr:spPr>
        <a:xfrm xmlns:a="http://schemas.openxmlformats.org/drawingml/2006/main">
          <a:off x="4457675" y="1557350"/>
          <a:ext cx="1085875" cy="2857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 kern="1200">
              <a:solidFill>
                <a:srgbClr val="00B050"/>
              </a:solidFill>
            </a:rPr>
            <a:t>47,235 g/km</a:t>
          </a:r>
        </a:p>
      </cdr:txBody>
    </cdr:sp>
  </cdr:relSizeAnchor>
  <cdr:relSizeAnchor xmlns:cdr="http://schemas.openxmlformats.org/drawingml/2006/chartDrawing">
    <cdr:from>
      <cdr:x>0.29623</cdr:x>
      <cdr:y>0.50479</cdr:y>
    </cdr:from>
    <cdr:to>
      <cdr:x>0.99315</cdr:x>
      <cdr:y>0.59234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5127F649-DC73-EE57-A494-1B656DD1125D}"/>
            </a:ext>
          </a:extLst>
        </cdr:cNvPr>
        <cdr:cNvSpPr txBox="1"/>
      </cdr:nvSpPr>
      <cdr:spPr>
        <a:xfrm xmlns:a="http://schemas.openxmlformats.org/drawingml/2006/main">
          <a:off x="1647825" y="1757363"/>
          <a:ext cx="3876671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200" b="1">
              <a:solidFill>
                <a:srgbClr val="00B050"/>
              </a:solidFill>
            </a:rPr>
            <a:t>Support State &amp; DAGS goals by achieving a 50% reduction.</a:t>
          </a:r>
          <a:endParaRPr lang="en-US" sz="1200" b="1" kern="1200">
            <a:solidFill>
              <a:srgbClr val="00B05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878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Arakaki, Michael J</dc:creator>
  <cp:keywords/>
  <dc:description/>
  <cp:lastModifiedBy>Arakaki, Michael J</cp:lastModifiedBy>
  <cp:revision>2</cp:revision>
  <dcterms:created xsi:type="dcterms:W3CDTF">2026-04-13T01:08:00Z</dcterms:created>
  <dcterms:modified xsi:type="dcterms:W3CDTF">2026-04-13T01:08:00Z</dcterms:modified>
</cp:coreProperties>
</file>