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C7D4A" w14:textId="3C03D45B" w:rsidR="006A16F6" w:rsidRDefault="0054715B">
      <w:pPr>
        <w:spacing w:after="0" w:line="259" w:lineRule="auto"/>
        <w:ind w:right="1"/>
        <w:jc w:val="center"/>
      </w:pPr>
      <w:r>
        <w:rPr>
          <w:b/>
        </w:rPr>
        <w:t>INSTRUCTIONS</w:t>
      </w:r>
    </w:p>
    <w:p w14:paraId="64DDFBBB" w14:textId="3AF9A96F" w:rsidR="006A16F6" w:rsidRDefault="0054715B" w:rsidP="00D13DE3">
      <w:pPr>
        <w:spacing w:after="0" w:line="259" w:lineRule="auto"/>
        <w:jc w:val="center"/>
      </w:pPr>
      <w:r>
        <w:rPr>
          <w:b/>
        </w:rPr>
        <w:t>To Complete Forms of Department Financial Information Required for the</w:t>
      </w:r>
      <w:r w:rsidR="00D13DE3">
        <w:rPr>
          <w:b/>
        </w:rPr>
        <w:t xml:space="preserve"> </w:t>
      </w:r>
      <w:r>
        <w:rPr>
          <w:b/>
        </w:rPr>
        <w:t xml:space="preserve">Preparation of the State of Hawaii’s </w:t>
      </w:r>
      <w:r w:rsidR="00DE2F81">
        <w:rPr>
          <w:b/>
        </w:rPr>
        <w:t xml:space="preserve">Annual </w:t>
      </w:r>
      <w:r>
        <w:rPr>
          <w:b/>
        </w:rPr>
        <w:t>Comprehensive Financial Report</w:t>
      </w:r>
      <w:r w:rsidR="00D13DE3">
        <w:rPr>
          <w:b/>
        </w:rPr>
        <w:t xml:space="preserve"> </w:t>
      </w:r>
      <w:r>
        <w:rPr>
          <w:b/>
        </w:rPr>
        <w:t>(</w:t>
      </w:r>
      <w:r w:rsidR="00DE2F81">
        <w:rPr>
          <w:b/>
        </w:rPr>
        <w:t>A</w:t>
      </w:r>
      <w:r>
        <w:rPr>
          <w:b/>
        </w:rPr>
        <w:t>CF</w:t>
      </w:r>
      <w:r w:rsidR="001A2E93">
        <w:rPr>
          <w:b/>
        </w:rPr>
        <w:t>R)</w:t>
      </w:r>
    </w:p>
    <w:p w14:paraId="330F1392" w14:textId="2BC9B329" w:rsidR="006A16F6" w:rsidRDefault="00EE65F4" w:rsidP="00E41184">
      <w:pPr>
        <w:spacing w:after="0" w:line="259" w:lineRule="auto"/>
        <w:ind w:left="62" w:firstLine="0"/>
        <w:jc w:val="both"/>
      </w:pPr>
      <w:r>
        <w:rPr>
          <w:noProof/>
        </w:rPr>
        <mc:AlternateContent>
          <mc:Choice Requires="wps">
            <w:drawing>
              <wp:anchor distT="0" distB="0" distL="114300" distR="114300" simplePos="0" relativeHeight="251659264" behindDoc="0" locked="0" layoutInCell="1" allowOverlap="1" wp14:anchorId="7035E633" wp14:editId="5ECD26BD">
                <wp:simplePos x="0" y="0"/>
                <wp:positionH relativeFrom="column">
                  <wp:posOffset>-1001395</wp:posOffset>
                </wp:positionH>
                <wp:positionV relativeFrom="paragraph">
                  <wp:posOffset>297180</wp:posOffset>
                </wp:positionV>
                <wp:extent cx="1001395" cy="357505"/>
                <wp:effectExtent l="0" t="0" r="8255" b="4445"/>
                <wp:wrapNone/>
                <wp:docPr id="1" name="Text Box 1"/>
                <wp:cNvGraphicFramePr/>
                <a:graphic xmlns:a="http://schemas.openxmlformats.org/drawingml/2006/main">
                  <a:graphicData uri="http://schemas.microsoft.com/office/word/2010/wordprocessingShape">
                    <wps:wsp>
                      <wps:cNvSpPr txBox="1"/>
                      <wps:spPr>
                        <a:xfrm>
                          <a:off x="0" y="0"/>
                          <a:ext cx="1001395" cy="357505"/>
                        </a:xfrm>
                        <a:prstGeom prst="rect">
                          <a:avLst/>
                        </a:prstGeom>
                        <a:solidFill>
                          <a:sysClr val="window" lastClr="FFFFFF"/>
                        </a:solidFill>
                        <a:ln w="6350">
                          <a:noFill/>
                        </a:ln>
                        <a:effectLst/>
                      </wps:spPr>
                      <wps:txbx>
                        <w:txbxContent>
                          <w:p w14:paraId="415F22D2" w14:textId="77777777" w:rsidR="00EE65F4" w:rsidRDefault="00EE65F4" w:rsidP="00EE65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035E633" id="_x0000_t202" coordsize="21600,21600" o:spt="202" path="m,l,21600r21600,l21600,xe">
                <v:stroke joinstyle="miter"/>
                <v:path gradientshapeok="t" o:connecttype="rect"/>
              </v:shapetype>
              <v:shape id="Text Box 1" o:spid="_x0000_s1026" type="#_x0000_t202" style="position:absolute;left:0;text-align:left;margin-left:-78.85pt;margin-top:23.4pt;width:78.85pt;height:28.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" fillcolor="window" stroked="f" strokeweight=".5pt">
                <v:textbox>
                  <w:txbxContent>
                    <w:p w14:paraId="415F22D2" w14:textId="77777777" w:rsidR="00EE65F4" w:rsidRDefault="00EE65F4" w:rsidP="00EE65F4"/>
                  </w:txbxContent>
                </v:textbox>
              </v:shape>
            </w:pict>
          </mc:Fallback>
        </mc:AlternateContent>
      </w:r>
    </w:p>
    <w:p w14:paraId="646E8B53" w14:textId="77777777" w:rsidR="00502E8C" w:rsidRPr="00D45E5B" w:rsidRDefault="0054715B" w:rsidP="00201EA5">
      <w:pPr>
        <w:ind w:left="0" w:firstLine="0"/>
        <w:jc w:val="center"/>
        <w:rPr>
          <w:color w:val="auto"/>
        </w:rPr>
      </w:pPr>
      <w:r>
        <w:rPr>
          <w:b/>
          <w:color w:val="FF0000"/>
          <w:u w:val="single" w:color="FF0000"/>
        </w:rPr>
        <w:t>DUE DATE</w:t>
      </w:r>
      <w:r w:rsidR="00502E8C">
        <w:rPr>
          <w:b/>
          <w:color w:val="FF0000"/>
          <w:u w:val="single" w:color="FF0000"/>
        </w:rPr>
        <w:t>S</w:t>
      </w:r>
      <w:r w:rsidRPr="00D45E5B">
        <w:rPr>
          <w:color w:val="FF0000"/>
        </w:rPr>
        <w:t>:</w:t>
      </w:r>
    </w:p>
    <w:p w14:paraId="7FE3CD55" w14:textId="7661D6CC" w:rsidR="006A16F6" w:rsidRPr="00C949F3" w:rsidRDefault="00502E8C" w:rsidP="00552980">
      <w:pPr>
        <w:spacing w:after="0" w:line="259" w:lineRule="auto"/>
        <w:ind w:left="1" w:firstLine="0"/>
        <w:jc w:val="center"/>
        <w:rPr>
          <w:color w:val="auto"/>
        </w:rPr>
      </w:pPr>
      <w:r>
        <w:rPr>
          <w:b/>
          <w:color w:val="FF0000"/>
          <w:u w:val="single" w:color="FF0000"/>
        </w:rPr>
        <w:t>ALL SCHEDULES EXCEPT VOUCHERS PAYABLE -</w:t>
      </w:r>
      <w:r w:rsidR="0054715B">
        <w:rPr>
          <w:b/>
          <w:color w:val="FF0000"/>
          <w:u w:val="single" w:color="FF0000"/>
        </w:rPr>
        <w:t xml:space="preserve"> </w:t>
      </w:r>
      <w:r w:rsidR="00552980">
        <w:rPr>
          <w:b/>
          <w:color w:val="FF0000"/>
          <w:u w:val="single" w:color="FF0000"/>
        </w:rPr>
        <w:t xml:space="preserve">September </w:t>
      </w:r>
      <w:r w:rsidR="001049FD">
        <w:rPr>
          <w:b/>
          <w:color w:val="FF0000"/>
          <w:u w:val="single" w:color="FF0000"/>
        </w:rPr>
        <w:t>1</w:t>
      </w:r>
      <w:r w:rsidR="003879DA">
        <w:rPr>
          <w:b/>
          <w:color w:val="FF0000"/>
          <w:u w:val="single" w:color="FF0000"/>
        </w:rPr>
        <w:t>5</w:t>
      </w:r>
      <w:r w:rsidR="001049FD">
        <w:rPr>
          <w:b/>
          <w:color w:val="FF0000"/>
          <w:u w:val="single" w:color="FF0000"/>
        </w:rPr>
        <w:t>,</w:t>
      </w:r>
      <w:r w:rsidR="00A11391">
        <w:rPr>
          <w:b/>
          <w:color w:val="FF0000"/>
          <w:u w:val="single" w:color="FF0000"/>
        </w:rPr>
        <w:t xml:space="preserve"> 20</w:t>
      </w:r>
      <w:r w:rsidR="001049FD">
        <w:rPr>
          <w:b/>
          <w:color w:val="FF0000"/>
          <w:u w:val="single" w:color="FF0000"/>
        </w:rPr>
        <w:t>2</w:t>
      </w:r>
      <w:r w:rsidR="003879DA">
        <w:rPr>
          <w:b/>
          <w:color w:val="FF0000"/>
          <w:u w:val="single" w:color="FF0000"/>
        </w:rPr>
        <w:t>3</w:t>
      </w:r>
    </w:p>
    <w:p w14:paraId="61494271" w14:textId="5002846E" w:rsidR="00502E8C" w:rsidRPr="00C949F3" w:rsidRDefault="00502E8C" w:rsidP="00552980">
      <w:pPr>
        <w:spacing w:after="0" w:line="259" w:lineRule="auto"/>
        <w:ind w:left="1" w:firstLine="0"/>
        <w:jc w:val="center"/>
        <w:rPr>
          <w:color w:val="auto"/>
        </w:rPr>
      </w:pPr>
      <w:r>
        <w:rPr>
          <w:b/>
          <w:color w:val="FF0000"/>
          <w:u w:val="single" w:color="FF0000"/>
        </w:rPr>
        <w:t>V</w:t>
      </w:r>
      <w:r w:rsidR="00AF4B4E">
        <w:rPr>
          <w:b/>
          <w:color w:val="FF0000"/>
          <w:u w:val="single" w:color="FF0000"/>
        </w:rPr>
        <w:t xml:space="preserve">OUCHERS </w:t>
      </w:r>
      <w:r>
        <w:rPr>
          <w:b/>
          <w:color w:val="FF0000"/>
          <w:u w:val="single" w:color="FF0000"/>
        </w:rPr>
        <w:t>P</w:t>
      </w:r>
      <w:r w:rsidR="00AF4B4E">
        <w:rPr>
          <w:b/>
          <w:color w:val="FF0000"/>
          <w:u w:val="single" w:color="FF0000"/>
        </w:rPr>
        <w:t>AYABLE</w:t>
      </w:r>
      <w:r>
        <w:rPr>
          <w:b/>
          <w:color w:val="FF0000"/>
          <w:u w:val="single" w:color="FF0000"/>
        </w:rPr>
        <w:t xml:space="preserve"> – October </w:t>
      </w:r>
      <w:r w:rsidR="003879DA">
        <w:rPr>
          <w:b/>
          <w:color w:val="FF0000"/>
          <w:u w:val="single" w:color="FF0000"/>
        </w:rPr>
        <w:t>2</w:t>
      </w:r>
      <w:r>
        <w:rPr>
          <w:b/>
          <w:color w:val="FF0000"/>
          <w:u w:val="single" w:color="FF0000"/>
        </w:rPr>
        <w:t xml:space="preserve">, </w:t>
      </w:r>
      <w:r w:rsidR="00276329">
        <w:rPr>
          <w:b/>
          <w:color w:val="FF0000"/>
          <w:u w:val="single" w:color="FF0000"/>
        </w:rPr>
        <w:t>2023</w:t>
      </w:r>
    </w:p>
    <w:p w14:paraId="5286DFF6" w14:textId="73EAEEA7" w:rsidR="006A16F6" w:rsidRDefault="006A16F6">
      <w:pPr>
        <w:spacing w:after="0" w:line="259" w:lineRule="auto"/>
        <w:ind w:left="0" w:firstLine="0"/>
      </w:pPr>
    </w:p>
    <w:p w14:paraId="1B4AC453" w14:textId="37AA023B" w:rsidR="006A16F6" w:rsidRDefault="0054715B" w:rsidP="00201EA5">
      <w:pPr>
        <w:jc w:val="both"/>
      </w:pPr>
      <w:r>
        <w:t xml:space="preserve">In accordance with Section 40-4, Hawaii Revised Statutes, we are requesting financial information to assist in the preparation of the State of Hawaii’s </w:t>
      </w:r>
      <w:r w:rsidR="00DE2F81">
        <w:t xml:space="preserve">Annual </w:t>
      </w:r>
      <w:r>
        <w:t>Comprehensive Financial Report (</w:t>
      </w:r>
      <w:r w:rsidR="00DE2F81">
        <w:t>A</w:t>
      </w:r>
      <w:r>
        <w:t>CFR).</w:t>
      </w:r>
    </w:p>
    <w:p w14:paraId="1E5A6378" w14:textId="16D276CE" w:rsidR="006A16F6" w:rsidRDefault="006A16F6" w:rsidP="00201EA5">
      <w:pPr>
        <w:spacing w:after="0" w:line="259" w:lineRule="auto"/>
        <w:ind w:left="0" w:firstLine="0"/>
        <w:jc w:val="both"/>
      </w:pPr>
    </w:p>
    <w:p w14:paraId="0CA6B8BB" w14:textId="7D714A44" w:rsidR="006A16F6" w:rsidRDefault="0054715B" w:rsidP="00201EA5">
      <w:pPr>
        <w:jc w:val="both"/>
      </w:pPr>
      <w:r>
        <w:t xml:space="preserve">Information on accounts, </w:t>
      </w:r>
      <w:r w:rsidR="00134DBF">
        <w:t>notes,</w:t>
      </w:r>
      <w:r>
        <w:t xml:space="preserve"> and loans receivable, accrued vacation and sick leave, </w:t>
      </w:r>
      <w:r w:rsidR="008E0B4B">
        <w:t xml:space="preserve">leases, </w:t>
      </w:r>
      <w:r>
        <w:t xml:space="preserve">and </w:t>
      </w:r>
      <w:r w:rsidR="008E0B4B">
        <w:t xml:space="preserve">subscription-based information technology arrangements </w:t>
      </w:r>
      <w:r>
        <w:t>will be requested for separately.</w:t>
      </w:r>
    </w:p>
    <w:p w14:paraId="73099202" w14:textId="23247350" w:rsidR="006A16F6" w:rsidRDefault="006A16F6" w:rsidP="00201EA5">
      <w:pPr>
        <w:spacing w:after="0" w:line="259" w:lineRule="auto"/>
        <w:ind w:left="0" w:firstLine="0"/>
        <w:jc w:val="both"/>
      </w:pPr>
    </w:p>
    <w:p w14:paraId="513339C8" w14:textId="6C384D2D" w:rsidR="006A16F6" w:rsidRDefault="0054715B" w:rsidP="00201EA5">
      <w:pPr>
        <w:jc w:val="both"/>
      </w:pPr>
      <w:r>
        <w:t xml:space="preserve">All financial information must be received </w:t>
      </w:r>
      <w:r w:rsidR="00502E8C">
        <w:t>on the dates stated above</w:t>
      </w:r>
      <w:r>
        <w:t xml:space="preserve">.  </w:t>
      </w:r>
      <w:r w:rsidR="007C48DD">
        <w:t xml:space="preserve">Unless specified, </w:t>
      </w:r>
      <w:r w:rsidR="003E4108">
        <w:t>e</w:t>
      </w:r>
      <w:r w:rsidR="00124F12">
        <w:t>ach Department must consolidate</w:t>
      </w:r>
      <w:r w:rsidR="009D28EE">
        <w:t xml:space="preserve"> all </w:t>
      </w:r>
      <w:r w:rsidR="00FF5457">
        <w:t>data or information and</w:t>
      </w:r>
      <w:r w:rsidR="003A1DCF">
        <w:t xml:space="preserve"> are</w:t>
      </w:r>
      <w:r w:rsidR="00FF5457">
        <w:t xml:space="preserve"> required to submit only one</w:t>
      </w:r>
      <w:r w:rsidR="00124F12">
        <w:t xml:space="preserve"> report</w:t>
      </w:r>
      <w:r w:rsidR="00FF5457">
        <w:t xml:space="preserve"> for the whole department</w:t>
      </w:r>
      <w:r w:rsidR="00124F12">
        <w:t xml:space="preserve"> (one department </w:t>
      </w:r>
      <w:r w:rsidR="00FF5457">
        <w:t>=</w:t>
      </w:r>
      <w:r w:rsidR="00124F12">
        <w:t xml:space="preserve"> one report).  </w:t>
      </w:r>
      <w:r>
        <w:t xml:space="preserve">If you have any questions, please contact </w:t>
      </w:r>
      <w:r w:rsidR="00124F12">
        <w:t>Lenora D. Fisher</w:t>
      </w:r>
      <w:r>
        <w:t>, Accounting System Administrator, at 586-0600, or e</w:t>
      </w:r>
      <w:r w:rsidR="00C949F3">
        <w:t>-</w:t>
      </w:r>
      <w:r>
        <w:t xml:space="preserve">mail at </w:t>
      </w:r>
      <w:hyperlink r:id="rId8" w:history="1">
        <w:r w:rsidR="00124F12" w:rsidRPr="00201EA5">
          <w:rPr>
            <w:rStyle w:val="Hyperlink"/>
            <w:color w:val="0000FF"/>
          </w:rPr>
          <w:t>lenora.d.fisher@hawaii.gov</w:t>
        </w:r>
      </w:hyperlink>
      <w:r w:rsidR="00124F12" w:rsidRPr="00201EA5">
        <w:rPr>
          <w:color w:val="0000FF"/>
        </w:rPr>
        <w:t>.</w:t>
      </w:r>
    </w:p>
    <w:p w14:paraId="353C8C97" w14:textId="48687990" w:rsidR="006A16F6" w:rsidRDefault="006A16F6" w:rsidP="00201EA5">
      <w:pPr>
        <w:spacing w:after="0" w:line="259" w:lineRule="auto"/>
        <w:ind w:left="0" w:firstLine="0"/>
        <w:jc w:val="both"/>
      </w:pPr>
    </w:p>
    <w:p w14:paraId="6EEA5C03" w14:textId="6B0C5750" w:rsidR="006A16F6" w:rsidRDefault="006A16F6" w:rsidP="00201EA5">
      <w:pPr>
        <w:spacing w:after="0" w:line="259" w:lineRule="auto"/>
        <w:ind w:left="0" w:firstLine="0"/>
        <w:jc w:val="both"/>
      </w:pPr>
    </w:p>
    <w:p w14:paraId="2FD8D328" w14:textId="46F5B6E1" w:rsidR="006A16F6" w:rsidRDefault="0054715B">
      <w:r>
        <w:rPr>
          <w:b/>
          <w:u w:val="single" w:color="000000"/>
        </w:rPr>
        <w:t>GENERAL INSTRUCTIONS</w:t>
      </w:r>
      <w:r>
        <w:rPr>
          <w:b/>
        </w:rPr>
        <w:t>:</w:t>
      </w:r>
    </w:p>
    <w:p w14:paraId="2C2966F2" w14:textId="537E7546" w:rsidR="006A16F6" w:rsidRDefault="006A16F6">
      <w:pPr>
        <w:spacing w:after="0" w:line="259" w:lineRule="auto"/>
        <w:ind w:left="0" w:firstLine="0"/>
      </w:pPr>
    </w:p>
    <w:p w14:paraId="4B5F1B58" w14:textId="7BC0E771" w:rsidR="00EE65F4" w:rsidRDefault="0054715B" w:rsidP="00201EA5">
      <w:pPr>
        <w:numPr>
          <w:ilvl w:val="0"/>
          <w:numId w:val="1"/>
        </w:numPr>
        <w:ind w:hanging="360"/>
        <w:jc w:val="both"/>
      </w:pPr>
      <w:r>
        <w:rPr>
          <w:b/>
          <w:u w:val="single" w:color="000000"/>
        </w:rPr>
        <w:t>Transmittal Memorandum</w:t>
      </w:r>
      <w:r>
        <w:t xml:space="preserve"> – Complete the Transmittal Memorandum indicating the schedules that are attached for submission and the schedules that are not applicable (N/A).  </w:t>
      </w:r>
      <w:r>
        <w:rPr>
          <w:u w:val="single" w:color="000000"/>
        </w:rPr>
        <w:t>The Transmittal Memorandum must be signed by the Preparer</w:t>
      </w:r>
      <w:r>
        <w:t xml:space="preserve"> </w:t>
      </w:r>
      <w:r>
        <w:rPr>
          <w:u w:val="single" w:color="000000"/>
        </w:rPr>
        <w:t>and the Department Head or the Department Head’s authorized designee</w:t>
      </w:r>
      <w:r w:rsidRPr="00C949F3">
        <w:t>.</w:t>
      </w:r>
    </w:p>
    <w:p w14:paraId="1AA8D91C" w14:textId="77777777" w:rsidR="00151B78" w:rsidRPr="00C949F3" w:rsidRDefault="00151B78" w:rsidP="00C949F3">
      <w:pPr>
        <w:ind w:left="0" w:firstLine="0"/>
        <w:jc w:val="both"/>
      </w:pPr>
    </w:p>
    <w:p w14:paraId="5A9DCE5A" w14:textId="72C57F07" w:rsidR="006A16F6" w:rsidRDefault="00EE65F4" w:rsidP="00201EA5">
      <w:pPr>
        <w:ind w:left="720" w:firstLine="0"/>
        <w:jc w:val="both"/>
      </w:pPr>
      <w:r>
        <w:t>Note that there are two (2) Transmittal Memorand</w:t>
      </w:r>
      <w:r w:rsidR="00C949F3">
        <w:t>a</w:t>
      </w:r>
      <w:r>
        <w:t xml:space="preserve"> to be submitted: </w:t>
      </w:r>
      <w:r w:rsidR="00C949F3">
        <w:t xml:space="preserve"> </w:t>
      </w:r>
      <w:r>
        <w:t xml:space="preserve">First is the transmittal for schedules due September </w:t>
      </w:r>
      <w:r w:rsidR="001049FD">
        <w:t>1</w:t>
      </w:r>
      <w:r w:rsidR="003879DA">
        <w:t>5</w:t>
      </w:r>
      <w:r w:rsidR="008E4DFB">
        <w:t xml:space="preserve">, </w:t>
      </w:r>
      <w:r w:rsidR="00134DBF">
        <w:t>2023,</w:t>
      </w:r>
      <w:r w:rsidR="008E4DFB">
        <w:t xml:space="preserve"> </w:t>
      </w:r>
      <w:r>
        <w:t xml:space="preserve">and the second is the transmittal for vouchers payable schedule due October </w:t>
      </w:r>
      <w:r w:rsidR="003879DA">
        <w:t>2</w:t>
      </w:r>
      <w:r>
        <w:t>, 20</w:t>
      </w:r>
      <w:r w:rsidR="001049FD">
        <w:t>2</w:t>
      </w:r>
      <w:r w:rsidR="003879DA">
        <w:t>3</w:t>
      </w:r>
      <w:r>
        <w:t>.</w:t>
      </w:r>
    </w:p>
    <w:p w14:paraId="730241F6" w14:textId="70D3E2FB" w:rsidR="006A16F6" w:rsidRDefault="006A16F6" w:rsidP="00C949F3">
      <w:pPr>
        <w:spacing w:after="0" w:line="259" w:lineRule="auto"/>
        <w:ind w:right="323"/>
        <w:jc w:val="both"/>
      </w:pPr>
    </w:p>
    <w:p w14:paraId="38A97074" w14:textId="1F4E61F5" w:rsidR="006A16F6" w:rsidRDefault="0054715B" w:rsidP="00201EA5">
      <w:pPr>
        <w:ind w:left="715"/>
        <w:jc w:val="both"/>
      </w:pPr>
      <w:r>
        <w:t>Scan the signed Transmittal Memorandum and e</w:t>
      </w:r>
      <w:r w:rsidR="00C949F3">
        <w:t>-</w:t>
      </w:r>
      <w:r>
        <w:t>mail to:</w:t>
      </w:r>
    </w:p>
    <w:p w14:paraId="574BF62B" w14:textId="1D10B0B3" w:rsidR="006A16F6" w:rsidRDefault="00144007" w:rsidP="00201EA5">
      <w:pPr>
        <w:ind w:left="715"/>
        <w:jc w:val="both"/>
      </w:pPr>
      <w:r>
        <w:rPr>
          <w:color w:val="0000FF"/>
          <w:u w:val="single" w:color="0000FF"/>
        </w:rPr>
        <w:t>bobet-uriel.obedoza@hawaii.gov</w:t>
      </w:r>
      <w:r w:rsidR="0054715B">
        <w:t>.  Maintain the original for your records.</w:t>
      </w:r>
    </w:p>
    <w:p w14:paraId="182FBC45" w14:textId="24577B73" w:rsidR="006A16F6" w:rsidRDefault="006A16F6" w:rsidP="00C949F3">
      <w:pPr>
        <w:spacing w:after="0" w:line="259" w:lineRule="auto"/>
        <w:jc w:val="both"/>
      </w:pPr>
    </w:p>
    <w:p w14:paraId="7A566513" w14:textId="72770180" w:rsidR="006A16F6" w:rsidRDefault="0054715B" w:rsidP="00201EA5">
      <w:pPr>
        <w:ind w:left="715"/>
        <w:jc w:val="both"/>
      </w:pPr>
      <w:r>
        <w:t xml:space="preserve">The Transmittal Memorandum will be used to ensure completeness of all submissions.  </w:t>
      </w:r>
      <w:r>
        <w:rPr>
          <w:u w:val="single" w:color="000000"/>
        </w:rPr>
        <w:t>Schedules that are not applicable (N/A) are not required to be</w:t>
      </w:r>
      <w:r>
        <w:t xml:space="preserve"> </w:t>
      </w:r>
      <w:r>
        <w:rPr>
          <w:u w:val="single" w:color="000000"/>
        </w:rPr>
        <w:t>submitted</w:t>
      </w:r>
      <w:r w:rsidRPr="00C949F3">
        <w:t>.</w:t>
      </w:r>
    </w:p>
    <w:p w14:paraId="5F708B14" w14:textId="5A817B5E" w:rsidR="006A16F6" w:rsidRDefault="006A16F6" w:rsidP="00C949F3">
      <w:pPr>
        <w:spacing w:after="0" w:line="259" w:lineRule="auto"/>
        <w:jc w:val="both"/>
      </w:pPr>
    </w:p>
    <w:p w14:paraId="7B945DCC" w14:textId="30E28F84" w:rsidR="006A16F6" w:rsidRDefault="0054715B" w:rsidP="00201EA5">
      <w:pPr>
        <w:numPr>
          <w:ilvl w:val="0"/>
          <w:numId w:val="1"/>
        </w:numPr>
        <w:ind w:hanging="360"/>
        <w:jc w:val="both"/>
      </w:pPr>
      <w:r>
        <w:rPr>
          <w:b/>
          <w:u w:val="single" w:color="000000"/>
        </w:rPr>
        <w:t>Excel templates</w:t>
      </w:r>
      <w:r>
        <w:t xml:space="preserve"> – Use Excel templates provided for all submissions. </w:t>
      </w:r>
      <w:r w:rsidR="00C949F3">
        <w:t xml:space="preserve"> </w:t>
      </w:r>
      <w:r w:rsidR="00134DBF">
        <w:t>To</w:t>
      </w:r>
      <w:r>
        <w:t xml:space="preserve"> </w:t>
      </w:r>
      <w:r w:rsidR="001049FD">
        <w:t>en</w:t>
      </w:r>
      <w:r>
        <w:t xml:space="preserve">sure </w:t>
      </w:r>
      <w:r w:rsidR="00BE38AE">
        <w:t>uniformity</w:t>
      </w:r>
      <w:r w:rsidR="00D56B63">
        <w:t xml:space="preserve"> for all</w:t>
      </w:r>
      <w:r>
        <w:t xml:space="preserve"> departmental submissions</w:t>
      </w:r>
      <w:r w:rsidR="00BE38AE">
        <w:t xml:space="preserve"> and easy consolidation</w:t>
      </w:r>
      <w:r w:rsidR="003E4108">
        <w:t>, d</w:t>
      </w:r>
      <w:r>
        <w:rPr>
          <w:u w:val="single" w:color="000000"/>
        </w:rPr>
        <w:t>o not modify the templates</w:t>
      </w:r>
      <w:r w:rsidRPr="003E4108">
        <w:t xml:space="preserve">. </w:t>
      </w:r>
      <w:r w:rsidR="00C949F3">
        <w:t xml:space="preserve"> </w:t>
      </w:r>
      <w:r w:rsidR="00BE38AE" w:rsidRPr="00201EA5">
        <w:rPr>
          <w:b/>
        </w:rPr>
        <w:t>ALL DEPARTMENTS ARE REQUIRED TO</w:t>
      </w:r>
      <w:r w:rsidR="00124F12" w:rsidRPr="00201EA5">
        <w:rPr>
          <w:b/>
        </w:rPr>
        <w:t xml:space="preserve"> </w:t>
      </w:r>
      <w:r w:rsidR="00BE38AE" w:rsidRPr="00201EA5">
        <w:rPr>
          <w:b/>
        </w:rPr>
        <w:t>USE THE TEMPLATES PROVIDED</w:t>
      </w:r>
      <w:r w:rsidR="003E4108" w:rsidRPr="00C949F3">
        <w:t>.</w:t>
      </w:r>
    </w:p>
    <w:p w14:paraId="05DF4BA8" w14:textId="7E68AE16" w:rsidR="006A16F6" w:rsidRDefault="002A36DB" w:rsidP="00C949F3">
      <w:pPr>
        <w:spacing w:after="0" w:line="259" w:lineRule="auto"/>
        <w:jc w:val="both"/>
      </w:pPr>
      <w:r>
        <w:rPr>
          <w:noProof/>
        </w:rPr>
        <mc:AlternateContent>
          <mc:Choice Requires="wps">
            <w:drawing>
              <wp:anchor distT="0" distB="0" distL="114300" distR="114300" simplePos="0" relativeHeight="251665408" behindDoc="0" locked="0" layoutInCell="1" allowOverlap="1" wp14:anchorId="7F54165E" wp14:editId="57EB2210">
                <wp:simplePos x="0" y="0"/>
                <wp:positionH relativeFrom="column">
                  <wp:posOffset>-1000125</wp:posOffset>
                </wp:positionH>
                <wp:positionV relativeFrom="paragraph">
                  <wp:posOffset>161290</wp:posOffset>
                </wp:positionV>
                <wp:extent cx="885825" cy="26670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885825" cy="266700"/>
                        </a:xfrm>
                        <a:prstGeom prst="rect">
                          <a:avLst/>
                        </a:prstGeom>
                        <a:solidFill>
                          <a:sysClr val="window" lastClr="FFFFFF"/>
                        </a:solidFill>
                        <a:ln w="6350">
                          <a:noFill/>
                        </a:ln>
                        <a:effectLst/>
                      </wps:spPr>
                      <wps:txbx>
                        <w:txbxContent>
                          <w:p w14:paraId="7BCD0389" w14:textId="77777777" w:rsidR="002A36DB" w:rsidRDefault="002A36DB" w:rsidP="002A36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4165E" id="Text Box 8" o:spid="_x0000_s1027" type="#_x0000_t202" style="position:absolute;left:0;text-align:left;margin-left:-78.75pt;margin-top:12.7pt;width:69.7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" fillcolor="window" stroked="f" strokeweight=".5pt">
                <v:textbox>
                  <w:txbxContent>
                    <w:p w14:paraId="7BCD0389" w14:textId="77777777" w:rsidR="002A36DB" w:rsidRDefault="002A36DB" w:rsidP="002A36DB"/>
                  </w:txbxContent>
                </v:textbox>
              </v:shape>
            </w:pict>
          </mc:Fallback>
        </mc:AlternateContent>
      </w:r>
    </w:p>
    <w:p w14:paraId="626618E9" w14:textId="7BA7730D" w:rsidR="002A36DB" w:rsidRDefault="002A36DB" w:rsidP="00201EA5">
      <w:pPr>
        <w:ind w:left="715"/>
        <w:jc w:val="both"/>
      </w:pPr>
      <w:r>
        <w:t>There are two Template files: (1) The template</w:t>
      </w:r>
      <w:r w:rsidR="003E4108">
        <w:t>s</w:t>
      </w:r>
      <w:r>
        <w:t xml:space="preserve"> for all schedules except vouchers payable and, (2) The template for vouchers payable.</w:t>
      </w:r>
    </w:p>
    <w:p w14:paraId="196C7825" w14:textId="7149DBDC" w:rsidR="00D532B2" w:rsidRDefault="00D532B2" w:rsidP="00201EA5">
      <w:pPr>
        <w:ind w:left="715"/>
        <w:jc w:val="both"/>
      </w:pPr>
    </w:p>
    <w:p w14:paraId="01D69B48" w14:textId="77777777" w:rsidR="002A36DB" w:rsidRDefault="002A36DB" w:rsidP="00C949F3">
      <w:pPr>
        <w:jc w:val="both"/>
      </w:pPr>
    </w:p>
    <w:p w14:paraId="210FDD91" w14:textId="7E1143E3" w:rsidR="006A16F6" w:rsidRDefault="0054715B" w:rsidP="00201EA5">
      <w:pPr>
        <w:ind w:left="715"/>
        <w:jc w:val="both"/>
      </w:pPr>
      <w:r>
        <w:t>Suggesti</w:t>
      </w:r>
      <w:r w:rsidR="00144007">
        <w:t>ons for modifications to FY 20</w:t>
      </w:r>
      <w:r w:rsidR="001049FD">
        <w:t>2</w:t>
      </w:r>
      <w:r w:rsidR="00775406">
        <w:t>3</w:t>
      </w:r>
      <w:r>
        <w:t xml:space="preserve"> Excel templates may be e</w:t>
      </w:r>
      <w:r w:rsidR="00C949F3">
        <w:t>-</w:t>
      </w:r>
      <w:r>
        <w:t xml:space="preserve">mailed to: </w:t>
      </w:r>
      <w:r w:rsidR="00782858">
        <w:rPr>
          <w:color w:val="0000FF"/>
          <w:u w:val="single" w:color="0000FF"/>
        </w:rPr>
        <w:t>la</w:t>
      </w:r>
      <w:r w:rsidR="00144007">
        <w:rPr>
          <w:color w:val="0000FF"/>
          <w:u w:val="single" w:color="0000FF"/>
        </w:rPr>
        <w:t>de</w:t>
      </w:r>
      <w:r w:rsidR="00782858">
        <w:rPr>
          <w:color w:val="0000FF"/>
          <w:u w:val="single" w:color="0000FF"/>
        </w:rPr>
        <w:t>a.m.nash@</w:t>
      </w:r>
      <w:r>
        <w:rPr>
          <w:color w:val="0000FF"/>
          <w:u w:val="single" w:color="0000FF"/>
        </w:rPr>
        <w:t>hawaii.gov</w:t>
      </w:r>
      <w:r>
        <w:t>.</w:t>
      </w:r>
    </w:p>
    <w:p w14:paraId="78B3D74C" w14:textId="71D1E114" w:rsidR="006A16F6" w:rsidRDefault="006A16F6" w:rsidP="00C949F3">
      <w:pPr>
        <w:spacing w:after="0" w:line="259" w:lineRule="auto"/>
        <w:jc w:val="both"/>
      </w:pPr>
    </w:p>
    <w:p w14:paraId="2657645D" w14:textId="1BB4A5EB" w:rsidR="006A16F6" w:rsidRDefault="0054715B" w:rsidP="00201EA5">
      <w:pPr>
        <w:numPr>
          <w:ilvl w:val="0"/>
          <w:numId w:val="1"/>
        </w:numPr>
        <w:ind w:hanging="360"/>
        <w:jc w:val="both"/>
      </w:pPr>
      <w:r>
        <w:rPr>
          <w:b/>
          <w:u w:val="single" w:color="000000"/>
        </w:rPr>
        <w:t>Schedules requested to be prepared by Fund</w:t>
      </w:r>
      <w:r>
        <w:t xml:space="preserve"> – For schedules requested to be prepared by Fund, segregate by the following:</w:t>
      </w:r>
    </w:p>
    <w:p w14:paraId="01B2110A" w14:textId="7C4DE057" w:rsidR="006A16F6" w:rsidRDefault="006A16F6" w:rsidP="00201EA5">
      <w:pPr>
        <w:spacing w:after="1" w:line="259" w:lineRule="auto"/>
        <w:ind w:left="0" w:firstLine="0"/>
        <w:jc w:val="both"/>
      </w:pPr>
    </w:p>
    <w:p w14:paraId="27446A87" w14:textId="77777777" w:rsidR="006A16F6" w:rsidRDefault="0054715B" w:rsidP="00201EA5">
      <w:pPr>
        <w:numPr>
          <w:ilvl w:val="1"/>
          <w:numId w:val="1"/>
        </w:numPr>
        <w:ind w:hanging="360"/>
        <w:jc w:val="both"/>
      </w:pPr>
      <w:r>
        <w:t xml:space="preserve">General </w:t>
      </w:r>
    </w:p>
    <w:p w14:paraId="06B771E0" w14:textId="77777777" w:rsidR="006A16F6" w:rsidRDefault="0054715B" w:rsidP="00201EA5">
      <w:pPr>
        <w:numPr>
          <w:ilvl w:val="1"/>
          <w:numId w:val="1"/>
        </w:numPr>
        <w:ind w:hanging="360"/>
        <w:jc w:val="both"/>
      </w:pPr>
      <w:r>
        <w:t xml:space="preserve">Special </w:t>
      </w:r>
    </w:p>
    <w:p w14:paraId="469844AA" w14:textId="77777777" w:rsidR="006A16F6" w:rsidRDefault="0054715B" w:rsidP="00201EA5">
      <w:pPr>
        <w:numPr>
          <w:ilvl w:val="1"/>
          <w:numId w:val="1"/>
        </w:numPr>
        <w:ind w:hanging="360"/>
        <w:jc w:val="both"/>
      </w:pPr>
      <w:r>
        <w:t xml:space="preserve">Bond  </w:t>
      </w:r>
    </w:p>
    <w:p w14:paraId="5A8F00A1" w14:textId="77777777" w:rsidR="006A16F6" w:rsidRDefault="0054715B" w:rsidP="00201EA5">
      <w:pPr>
        <w:numPr>
          <w:ilvl w:val="1"/>
          <w:numId w:val="1"/>
        </w:numPr>
        <w:ind w:hanging="360"/>
        <w:jc w:val="both"/>
      </w:pPr>
      <w:r>
        <w:t xml:space="preserve">Trust </w:t>
      </w:r>
    </w:p>
    <w:p w14:paraId="3B17F648" w14:textId="77777777" w:rsidR="00AF4B4E" w:rsidRDefault="00AF4B4E" w:rsidP="00C949F3">
      <w:pPr>
        <w:jc w:val="both"/>
      </w:pPr>
    </w:p>
    <w:p w14:paraId="2150012C" w14:textId="156A6A71" w:rsidR="006A16F6" w:rsidRDefault="0054715B" w:rsidP="00201EA5">
      <w:pPr>
        <w:spacing w:after="0" w:line="259" w:lineRule="auto"/>
        <w:ind w:left="720" w:firstLine="0"/>
        <w:jc w:val="both"/>
      </w:pPr>
      <w:r>
        <w:t>Sub-totals for various categories within funds (</w:t>
      </w:r>
      <w:r w:rsidR="00134DBF">
        <w:t>i.e.,</w:t>
      </w:r>
      <w:r>
        <w:t xml:space="preserve"> Federal Fund sub-total within Special Fund) are not required but may be included at the preparer’s discretion.</w:t>
      </w:r>
      <w:r w:rsidR="000B6236">
        <w:t xml:space="preserve"> </w:t>
      </w:r>
      <w:r w:rsidR="007B4279">
        <w:rPr>
          <w:u w:val="single" w:color="000000"/>
        </w:rPr>
        <w:t>T</w:t>
      </w:r>
      <w:r>
        <w:rPr>
          <w:u w:val="single" w:color="000000"/>
        </w:rPr>
        <w:t xml:space="preserve">otals for General, Special, Bond and Trust, and an overall Grand </w:t>
      </w:r>
      <w:r w:rsidRPr="00C949F3">
        <w:rPr>
          <w:u w:val="single"/>
        </w:rPr>
        <w:t>Total m</w:t>
      </w:r>
      <w:r>
        <w:rPr>
          <w:u w:val="single" w:color="000000"/>
        </w:rPr>
        <w:t>ust be included</w:t>
      </w:r>
      <w:r w:rsidRPr="00C949F3">
        <w:t>.</w:t>
      </w:r>
    </w:p>
    <w:p w14:paraId="1549C6BC" w14:textId="77777777" w:rsidR="006A16F6" w:rsidRDefault="006A16F6" w:rsidP="00201EA5">
      <w:pPr>
        <w:spacing w:after="0" w:line="259" w:lineRule="auto"/>
        <w:ind w:left="0" w:firstLine="0"/>
        <w:jc w:val="both"/>
      </w:pPr>
    </w:p>
    <w:p w14:paraId="4A59D44B" w14:textId="01C46B62" w:rsidR="00D56B63" w:rsidRDefault="00D56B63" w:rsidP="00201EA5">
      <w:pPr>
        <w:numPr>
          <w:ilvl w:val="0"/>
          <w:numId w:val="1"/>
        </w:numPr>
        <w:ind w:hanging="360"/>
        <w:jc w:val="both"/>
      </w:pPr>
      <w:r w:rsidRPr="00201EA5">
        <w:rPr>
          <w:b/>
          <w:u w:val="single"/>
        </w:rPr>
        <w:t>Variance Analysis for each schedule</w:t>
      </w:r>
      <w:r>
        <w:t xml:space="preserve"> – Factors or reasons for significant increase</w:t>
      </w:r>
      <w:r w:rsidR="0041169F">
        <w:t>(s)</w:t>
      </w:r>
      <w:r>
        <w:t xml:space="preserve"> or decrease</w:t>
      </w:r>
      <w:r w:rsidR="0041169F">
        <w:t>(s)</w:t>
      </w:r>
      <w:r>
        <w:t xml:space="preserve"> for each fund or total</w:t>
      </w:r>
      <w:r w:rsidR="003E4108">
        <w:t xml:space="preserve"> from the previous fiscal year</w:t>
      </w:r>
      <w:r w:rsidR="0041169F">
        <w:t xml:space="preserve"> should be provided.  For purposes of determining significant increase or decrease, the increase or decrease should</w:t>
      </w:r>
      <w:r w:rsidR="008D4A08">
        <w:t xml:space="preserve"> be</w:t>
      </w:r>
      <w:r w:rsidR="0041169F">
        <w:t xml:space="preserve"> at leas</w:t>
      </w:r>
      <w:r w:rsidR="009D28EE">
        <w:t>t 20.00% (= or &gt;</w:t>
      </w:r>
      <w:r w:rsidR="003E4108">
        <w:t>20%) and more than $100,000 from the previous fiscal year.</w:t>
      </w:r>
    </w:p>
    <w:p w14:paraId="73320B59" w14:textId="77777777" w:rsidR="00D56B63" w:rsidRPr="00201EA5" w:rsidRDefault="00D56B63" w:rsidP="00C949F3">
      <w:pPr>
        <w:jc w:val="both"/>
      </w:pPr>
    </w:p>
    <w:p w14:paraId="61EA47D2" w14:textId="23F227B1" w:rsidR="006A16F6" w:rsidRDefault="0054715B" w:rsidP="00201EA5">
      <w:pPr>
        <w:numPr>
          <w:ilvl w:val="0"/>
          <w:numId w:val="1"/>
        </w:numPr>
        <w:ind w:hanging="360"/>
        <w:jc w:val="both"/>
      </w:pPr>
      <w:r>
        <w:rPr>
          <w:b/>
          <w:u w:val="single" w:color="000000"/>
        </w:rPr>
        <w:t>Required Schedules</w:t>
      </w:r>
      <w:r>
        <w:t xml:space="preserve"> – Vouchers Payable and Accrued Payroll schedules are required to be submitted. </w:t>
      </w:r>
      <w:r w:rsidR="00C949F3">
        <w:t xml:space="preserve"> </w:t>
      </w:r>
      <w:r>
        <w:t>All other schedules must also be submitted, if applicable</w:t>
      </w:r>
      <w:r w:rsidR="00C949F3">
        <w:t>.</w:t>
      </w:r>
    </w:p>
    <w:p w14:paraId="73D2321B" w14:textId="1BE98872" w:rsidR="006A16F6" w:rsidRDefault="006A16F6" w:rsidP="00201EA5">
      <w:pPr>
        <w:spacing w:after="0" w:line="259" w:lineRule="auto"/>
        <w:ind w:left="0" w:firstLine="0"/>
        <w:jc w:val="both"/>
      </w:pPr>
    </w:p>
    <w:p w14:paraId="61D92872" w14:textId="2DE17C14" w:rsidR="006A16F6" w:rsidRDefault="0054715B" w:rsidP="00201EA5">
      <w:pPr>
        <w:numPr>
          <w:ilvl w:val="0"/>
          <w:numId w:val="1"/>
        </w:numPr>
        <w:ind w:hanging="360"/>
        <w:jc w:val="both"/>
      </w:pPr>
      <w:r>
        <w:rPr>
          <w:b/>
          <w:u w:val="single" w:color="000000"/>
        </w:rPr>
        <w:t>Preparer and Reviewer information</w:t>
      </w:r>
      <w:r>
        <w:rPr>
          <w:b/>
        </w:rPr>
        <w:t xml:space="preserve"> </w:t>
      </w:r>
      <w:r>
        <w:t>– For each schedule, include the Preparer’s and Reviewer’s name, title, e</w:t>
      </w:r>
      <w:r w:rsidR="00C949F3">
        <w:t>-</w:t>
      </w:r>
      <w:r>
        <w:t>mail address, and telephone number.</w:t>
      </w:r>
    </w:p>
    <w:p w14:paraId="69BA0DC2" w14:textId="3ED6CCB4" w:rsidR="006A16F6" w:rsidRDefault="006A16F6" w:rsidP="00201EA5">
      <w:pPr>
        <w:spacing w:after="0" w:line="259" w:lineRule="auto"/>
        <w:ind w:left="0" w:firstLine="0"/>
        <w:jc w:val="both"/>
      </w:pPr>
    </w:p>
    <w:p w14:paraId="5177D933" w14:textId="77777777" w:rsidR="00C949F3" w:rsidRDefault="00C949F3" w:rsidP="00201EA5">
      <w:pPr>
        <w:spacing w:after="0" w:line="259" w:lineRule="auto"/>
        <w:ind w:left="0" w:firstLine="0"/>
        <w:jc w:val="both"/>
      </w:pPr>
    </w:p>
    <w:p w14:paraId="21AEC0BE" w14:textId="7DD46220" w:rsidR="006A16F6" w:rsidRDefault="0054715B" w:rsidP="00201EA5">
      <w:pPr>
        <w:jc w:val="both"/>
      </w:pPr>
      <w:r>
        <w:rPr>
          <w:b/>
          <w:u w:val="single" w:color="000000"/>
        </w:rPr>
        <w:t>DEPARTMENT-SPECIFIC INSTRUCTIONS</w:t>
      </w:r>
      <w:r w:rsidRPr="00C949F3">
        <w:t>:</w:t>
      </w:r>
    </w:p>
    <w:p w14:paraId="4824F6C4" w14:textId="57C55558" w:rsidR="006A16F6" w:rsidRDefault="006A16F6" w:rsidP="00C949F3">
      <w:pPr>
        <w:spacing w:after="0" w:line="259" w:lineRule="auto"/>
        <w:jc w:val="both"/>
      </w:pPr>
    </w:p>
    <w:p w14:paraId="4D1B8A74" w14:textId="3B035606" w:rsidR="006A16F6" w:rsidRDefault="0054715B" w:rsidP="00201EA5">
      <w:pPr>
        <w:numPr>
          <w:ilvl w:val="0"/>
          <w:numId w:val="2"/>
        </w:numPr>
        <w:ind w:hanging="360"/>
        <w:jc w:val="both"/>
      </w:pPr>
      <w:r>
        <w:rPr>
          <w:b/>
          <w:u w:val="single" w:color="000000"/>
        </w:rPr>
        <w:t>B&amp;F</w:t>
      </w:r>
      <w:r>
        <w:t xml:space="preserve"> – Exclude ERS and EUTF.</w:t>
      </w:r>
    </w:p>
    <w:p w14:paraId="349B6865" w14:textId="4867E437" w:rsidR="006A16F6" w:rsidRDefault="006A16F6" w:rsidP="00C949F3">
      <w:pPr>
        <w:spacing w:after="0" w:line="259" w:lineRule="auto"/>
        <w:jc w:val="both"/>
      </w:pPr>
    </w:p>
    <w:p w14:paraId="4900C5E1" w14:textId="0A07F7CE" w:rsidR="006A16F6" w:rsidRDefault="0054715B" w:rsidP="00201EA5">
      <w:pPr>
        <w:numPr>
          <w:ilvl w:val="0"/>
          <w:numId w:val="2"/>
        </w:numPr>
        <w:ind w:hanging="360"/>
        <w:jc w:val="both"/>
      </w:pPr>
      <w:r>
        <w:rPr>
          <w:b/>
          <w:u w:val="single" w:color="000000"/>
        </w:rPr>
        <w:t>DBEDT</w:t>
      </w:r>
      <w:r>
        <w:t xml:space="preserve"> – Exclude HHFDC, HTA, and HCDA.</w:t>
      </w:r>
    </w:p>
    <w:p w14:paraId="3DB424C0" w14:textId="54AAE440" w:rsidR="006A16F6" w:rsidRDefault="006A16F6" w:rsidP="00C949F3">
      <w:pPr>
        <w:spacing w:after="0" w:line="259" w:lineRule="auto"/>
        <w:jc w:val="both"/>
      </w:pPr>
    </w:p>
    <w:p w14:paraId="42F2B5B0" w14:textId="6EBA4238" w:rsidR="006A16F6" w:rsidRDefault="0054715B" w:rsidP="00201EA5">
      <w:pPr>
        <w:numPr>
          <w:ilvl w:val="0"/>
          <w:numId w:val="2"/>
        </w:numPr>
        <w:ind w:hanging="360"/>
        <w:jc w:val="both"/>
      </w:pPr>
      <w:r>
        <w:rPr>
          <w:b/>
          <w:u w:val="single" w:color="000000"/>
        </w:rPr>
        <w:t>DCCA</w:t>
      </w:r>
      <w:r>
        <w:rPr>
          <w:b/>
        </w:rPr>
        <w:t xml:space="preserve"> </w:t>
      </w:r>
      <w:r>
        <w:t>– Exclude HHRF.</w:t>
      </w:r>
    </w:p>
    <w:p w14:paraId="7430F5E7" w14:textId="7A8B5ADF" w:rsidR="006A16F6" w:rsidRDefault="006A16F6" w:rsidP="00C949F3">
      <w:pPr>
        <w:spacing w:after="0" w:line="259" w:lineRule="auto"/>
        <w:jc w:val="both"/>
      </w:pPr>
    </w:p>
    <w:p w14:paraId="15569E60" w14:textId="4F2A1904" w:rsidR="006A16F6" w:rsidRDefault="0054715B" w:rsidP="00201EA5">
      <w:pPr>
        <w:numPr>
          <w:ilvl w:val="0"/>
          <w:numId w:val="2"/>
        </w:numPr>
        <w:ind w:hanging="360"/>
        <w:jc w:val="both"/>
      </w:pPr>
      <w:r>
        <w:rPr>
          <w:b/>
          <w:u w:val="single" w:color="000000"/>
        </w:rPr>
        <w:t>DHHL</w:t>
      </w:r>
      <w:r>
        <w:rPr>
          <w:b/>
        </w:rPr>
        <w:t xml:space="preserve"> –</w:t>
      </w:r>
      <w:r>
        <w:t xml:space="preserve"> Provide separate totals for CIP and non-CIP accounts.  Do not prepare separate Construction Projects in Progress (CIP) Summary template.</w:t>
      </w:r>
    </w:p>
    <w:p w14:paraId="37067B4D" w14:textId="1D0E9FF9" w:rsidR="006A16F6" w:rsidRDefault="006A16F6" w:rsidP="00C949F3">
      <w:pPr>
        <w:spacing w:after="0" w:line="259" w:lineRule="auto"/>
        <w:jc w:val="both"/>
      </w:pPr>
    </w:p>
    <w:p w14:paraId="0EB51C2E" w14:textId="07E0A834" w:rsidR="006A16F6" w:rsidRDefault="0054715B" w:rsidP="00201EA5">
      <w:pPr>
        <w:numPr>
          <w:ilvl w:val="0"/>
          <w:numId w:val="2"/>
        </w:numPr>
        <w:ind w:hanging="360"/>
        <w:jc w:val="both"/>
      </w:pPr>
      <w:r>
        <w:rPr>
          <w:b/>
          <w:u w:val="single" w:color="000000"/>
        </w:rPr>
        <w:t>DHS</w:t>
      </w:r>
      <w:r>
        <w:t xml:space="preserve"> – Provide separate totals for Med-Quest Special Fund</w:t>
      </w:r>
      <w:r w:rsidR="00FC67C3">
        <w:t xml:space="preserve">, </w:t>
      </w:r>
      <w:r w:rsidR="00134DBF">
        <w:t>CIP,</w:t>
      </w:r>
      <w:r w:rsidR="00FC67C3">
        <w:t xml:space="preserve"> and Non-CIP accounts</w:t>
      </w:r>
      <w:r>
        <w:t xml:space="preserve">.  Exclude HPHA. </w:t>
      </w:r>
      <w:r w:rsidR="00C949F3">
        <w:t xml:space="preserve"> </w:t>
      </w:r>
      <w:r w:rsidR="000B6236">
        <w:t>Do not prepare separate Construction Projects in Progress (CIP) Summary template.</w:t>
      </w:r>
    </w:p>
    <w:p w14:paraId="5506D711" w14:textId="26BCA436" w:rsidR="006A16F6" w:rsidRDefault="006A16F6" w:rsidP="00C949F3">
      <w:pPr>
        <w:spacing w:after="0" w:line="259" w:lineRule="auto"/>
        <w:jc w:val="both"/>
      </w:pPr>
    </w:p>
    <w:p w14:paraId="02759686" w14:textId="7C1BCCDF" w:rsidR="006A16F6" w:rsidRDefault="0054715B" w:rsidP="00201EA5">
      <w:pPr>
        <w:numPr>
          <w:ilvl w:val="0"/>
          <w:numId w:val="2"/>
        </w:numPr>
        <w:ind w:hanging="360"/>
        <w:jc w:val="both"/>
      </w:pPr>
      <w:r>
        <w:rPr>
          <w:b/>
          <w:u w:val="single" w:color="000000"/>
        </w:rPr>
        <w:t>DLIR</w:t>
      </w:r>
      <w:r>
        <w:t xml:space="preserve"> – Provide separate totals for Unemployment Insurance.</w:t>
      </w:r>
    </w:p>
    <w:p w14:paraId="741C4301" w14:textId="17719989" w:rsidR="006A16F6" w:rsidRDefault="006A16F6" w:rsidP="00C949F3">
      <w:pPr>
        <w:spacing w:after="0" w:line="259" w:lineRule="auto"/>
        <w:jc w:val="both"/>
      </w:pPr>
    </w:p>
    <w:p w14:paraId="7B4383A2" w14:textId="403A2144" w:rsidR="006A16F6" w:rsidRDefault="0054715B" w:rsidP="00201EA5">
      <w:pPr>
        <w:numPr>
          <w:ilvl w:val="0"/>
          <w:numId w:val="2"/>
        </w:numPr>
        <w:ind w:hanging="360"/>
        <w:jc w:val="both"/>
      </w:pPr>
      <w:r>
        <w:rPr>
          <w:b/>
          <w:u w:val="single" w:color="000000"/>
        </w:rPr>
        <w:t>DLNR</w:t>
      </w:r>
      <w:r>
        <w:t xml:space="preserve"> – Provide separate totals for Small Boat Special Fund, </w:t>
      </w:r>
      <w:r w:rsidR="00134DBF">
        <w:t>CIP,</w:t>
      </w:r>
      <w:r>
        <w:t xml:space="preserve"> and non-CIP accounts.  Do not prepare separate Construction Projects in Progress (CIP) Summary template.</w:t>
      </w:r>
    </w:p>
    <w:p w14:paraId="681DE1F3" w14:textId="2E73F227" w:rsidR="006A16F6" w:rsidRDefault="006A16F6" w:rsidP="00C770B1">
      <w:pPr>
        <w:spacing w:after="0" w:line="259" w:lineRule="auto"/>
        <w:jc w:val="both"/>
      </w:pPr>
    </w:p>
    <w:p w14:paraId="5D720A1B" w14:textId="311D950A" w:rsidR="006A16F6" w:rsidRDefault="0054715B" w:rsidP="00201EA5">
      <w:pPr>
        <w:numPr>
          <w:ilvl w:val="0"/>
          <w:numId w:val="2"/>
        </w:numPr>
        <w:ind w:hanging="360"/>
        <w:jc w:val="both"/>
      </w:pPr>
      <w:r>
        <w:rPr>
          <w:b/>
          <w:u w:val="single" w:color="000000"/>
        </w:rPr>
        <w:t>DOE</w:t>
      </w:r>
      <w:r>
        <w:rPr>
          <w:b/>
        </w:rPr>
        <w:t xml:space="preserve"> </w:t>
      </w:r>
      <w:r>
        <w:t>– Provide separate totals for CIP and non-CIP accounts.  Do not prepare separate Construction Projects in Progress (CIP) Summary template.</w:t>
      </w:r>
    </w:p>
    <w:p w14:paraId="7AFA9E0C" w14:textId="56EB766D" w:rsidR="006A16F6" w:rsidRDefault="006A16F6" w:rsidP="00C770B1">
      <w:pPr>
        <w:spacing w:after="0" w:line="259" w:lineRule="auto"/>
        <w:jc w:val="both"/>
      </w:pPr>
    </w:p>
    <w:p w14:paraId="7B8E364E" w14:textId="222B0C9D" w:rsidR="006A16F6" w:rsidRDefault="0054715B" w:rsidP="00201EA5">
      <w:pPr>
        <w:numPr>
          <w:ilvl w:val="0"/>
          <w:numId w:val="2"/>
        </w:numPr>
        <w:ind w:hanging="360"/>
        <w:jc w:val="both"/>
      </w:pPr>
      <w:r>
        <w:rPr>
          <w:b/>
          <w:u w:val="single" w:color="000000"/>
        </w:rPr>
        <w:t>DOH</w:t>
      </w:r>
      <w:r>
        <w:rPr>
          <w:b/>
        </w:rPr>
        <w:t xml:space="preserve"> </w:t>
      </w:r>
      <w:r>
        <w:t>– Exclude Water Pollution Control Revolving Fund, Drinking Water Treatment Revolving Loan Fund, and HHSC.</w:t>
      </w:r>
    </w:p>
    <w:p w14:paraId="19C64998" w14:textId="688FB4C8" w:rsidR="006A16F6" w:rsidRDefault="006A16F6" w:rsidP="00C770B1">
      <w:pPr>
        <w:spacing w:after="0" w:line="259" w:lineRule="auto"/>
        <w:jc w:val="both"/>
      </w:pPr>
    </w:p>
    <w:p w14:paraId="67021E6A" w14:textId="6C173D03" w:rsidR="006A16F6" w:rsidRDefault="0054715B" w:rsidP="00D13DE3">
      <w:pPr>
        <w:numPr>
          <w:ilvl w:val="0"/>
          <w:numId w:val="2"/>
        </w:numPr>
        <w:spacing w:after="0" w:line="241" w:lineRule="auto"/>
        <w:ind w:hanging="450"/>
        <w:jc w:val="both"/>
      </w:pPr>
      <w:r>
        <w:rPr>
          <w:b/>
          <w:u w:val="single" w:color="000000"/>
        </w:rPr>
        <w:t>DOT Highways</w:t>
      </w:r>
      <w:r>
        <w:t xml:space="preserve"> – Provide separate totals for CIP and non-CIP accounts.  Do not prepare separate Construction Projects in Progress (CIP) Summary template.</w:t>
      </w:r>
    </w:p>
    <w:p w14:paraId="5755AC50" w14:textId="528C8C8E" w:rsidR="006A16F6" w:rsidRDefault="006A16F6" w:rsidP="00C770B1">
      <w:pPr>
        <w:spacing w:after="0" w:line="259" w:lineRule="auto"/>
        <w:jc w:val="both"/>
      </w:pPr>
    </w:p>
    <w:p w14:paraId="0CC050CF" w14:textId="74F91626" w:rsidR="006A16F6" w:rsidRDefault="0054715B" w:rsidP="00D13DE3">
      <w:pPr>
        <w:numPr>
          <w:ilvl w:val="0"/>
          <w:numId w:val="2"/>
        </w:numPr>
        <w:ind w:hanging="450"/>
        <w:jc w:val="both"/>
      </w:pPr>
      <w:r>
        <w:rPr>
          <w:b/>
          <w:u w:val="single" w:color="000000"/>
        </w:rPr>
        <w:t>JUD</w:t>
      </w:r>
      <w:r>
        <w:t xml:space="preserve"> – Provide separate totals for CIP and non-CIP accounts.  Do not prepare separate Construction Projects in Progress (CIP) Summary template.</w:t>
      </w:r>
    </w:p>
    <w:p w14:paraId="48E8BD36" w14:textId="5C848060" w:rsidR="006A16F6" w:rsidRDefault="006A16F6" w:rsidP="00C770B1">
      <w:pPr>
        <w:spacing w:after="0" w:line="259" w:lineRule="auto"/>
      </w:pPr>
    </w:p>
    <w:p w14:paraId="23AF9A4F" w14:textId="77777777" w:rsidR="00AF4B4E" w:rsidRPr="00C770B1" w:rsidRDefault="00AF4B4E"/>
    <w:p w14:paraId="22BF8C70" w14:textId="623DB9A4" w:rsidR="006A16F6" w:rsidRPr="00C770B1" w:rsidRDefault="0054715B">
      <w:r>
        <w:rPr>
          <w:b/>
          <w:u w:val="single" w:color="000000"/>
        </w:rPr>
        <w:t>SCHEDULES REQUESTED</w:t>
      </w:r>
      <w:r w:rsidRPr="00C770B1">
        <w:t>:</w:t>
      </w:r>
    </w:p>
    <w:p w14:paraId="297B5FF5" w14:textId="7507AF74" w:rsidR="006A16F6" w:rsidRDefault="006A16F6">
      <w:pPr>
        <w:spacing w:after="0" w:line="259" w:lineRule="auto"/>
        <w:ind w:left="0" w:firstLine="0"/>
      </w:pPr>
    </w:p>
    <w:p w14:paraId="7D1D077A" w14:textId="42E2DE0A" w:rsidR="006A16F6" w:rsidRDefault="0054715B">
      <w:r>
        <w:t>The following financial information is requested:</w:t>
      </w:r>
    </w:p>
    <w:p w14:paraId="5DB4CC7A" w14:textId="3CECE737" w:rsidR="006A16F6" w:rsidRDefault="006A16F6">
      <w:pPr>
        <w:spacing w:after="0" w:line="259" w:lineRule="auto"/>
        <w:ind w:left="0" w:firstLine="0"/>
      </w:pPr>
    </w:p>
    <w:p w14:paraId="7C155994" w14:textId="02935821" w:rsidR="006A16F6" w:rsidRPr="00FD51C4" w:rsidRDefault="0054715B" w:rsidP="00201EA5">
      <w:pPr>
        <w:pStyle w:val="Heading1"/>
        <w:numPr>
          <w:ilvl w:val="0"/>
          <w:numId w:val="7"/>
        </w:numPr>
        <w:jc w:val="both"/>
        <w:rPr>
          <w:b w:val="0"/>
          <w:u w:val="none"/>
        </w:rPr>
      </w:pPr>
      <w:r>
        <w:rPr>
          <w:b w:val="0"/>
          <w:u w:val="none"/>
        </w:rPr>
        <w:t xml:space="preserve"> </w:t>
      </w:r>
      <w:r>
        <w:t>Cash Held Outside the State Treasury</w:t>
      </w:r>
    </w:p>
    <w:p w14:paraId="5A1A8D3B" w14:textId="77777777" w:rsidR="006A16F6" w:rsidRDefault="0054715B" w:rsidP="00201EA5">
      <w:pPr>
        <w:spacing w:after="0" w:line="259" w:lineRule="auto"/>
        <w:ind w:left="0" w:firstLine="0"/>
        <w:jc w:val="both"/>
      </w:pPr>
      <w:r>
        <w:t xml:space="preserve"> </w:t>
      </w:r>
    </w:p>
    <w:p w14:paraId="47A9040C" w14:textId="3F8DF3EF" w:rsidR="006A16F6" w:rsidRDefault="0054715B" w:rsidP="00201EA5">
      <w:pPr>
        <w:ind w:left="720" w:hanging="360"/>
        <w:jc w:val="both"/>
      </w:pPr>
      <w:r>
        <w:tab/>
      </w:r>
      <w:r>
        <w:rPr>
          <w:u w:val="single" w:color="000000"/>
        </w:rPr>
        <w:t>Financial Institution</w:t>
      </w:r>
      <w:r>
        <w:t xml:space="preserve"> – Name of the financial institution where the cash is deposited (</w:t>
      </w:r>
      <w:r w:rsidR="00134DBF">
        <w:t>i.e.,</w:t>
      </w:r>
      <w:r>
        <w:t xml:space="preserve"> Bank of Hawaii).</w:t>
      </w:r>
    </w:p>
    <w:p w14:paraId="3A0D249D" w14:textId="067F5CC5" w:rsidR="006A16F6" w:rsidRDefault="006A16F6" w:rsidP="00201EA5">
      <w:pPr>
        <w:spacing w:after="0" w:line="259" w:lineRule="auto"/>
        <w:ind w:left="0" w:firstLine="0"/>
        <w:jc w:val="both"/>
      </w:pPr>
    </w:p>
    <w:p w14:paraId="2542763A" w14:textId="57FCFBE9" w:rsidR="006A16F6" w:rsidRDefault="0054715B" w:rsidP="00201EA5">
      <w:pPr>
        <w:ind w:left="720" w:hanging="720"/>
        <w:jc w:val="both"/>
      </w:pPr>
      <w:r>
        <w:tab/>
      </w:r>
      <w:r>
        <w:rPr>
          <w:u w:val="single" w:color="000000"/>
        </w:rPr>
        <w:t>Appropriation Acct. No</w:t>
      </w:r>
      <w:r>
        <w:t>. – Appropriation Account Number where the cash is recorded in FAMIS (</w:t>
      </w:r>
      <w:r w:rsidR="00134DBF">
        <w:t>i.e.,</w:t>
      </w:r>
      <w:r>
        <w:t xml:space="preserve"> T-999-V1).</w:t>
      </w:r>
    </w:p>
    <w:p w14:paraId="01BE44B9" w14:textId="1DDB2414" w:rsidR="006A16F6" w:rsidRDefault="006A16F6" w:rsidP="00201EA5">
      <w:pPr>
        <w:spacing w:after="0" w:line="259" w:lineRule="auto"/>
        <w:ind w:left="0" w:firstLine="0"/>
        <w:jc w:val="both"/>
      </w:pPr>
    </w:p>
    <w:p w14:paraId="7B5F22C7" w14:textId="135C7E4B" w:rsidR="006A16F6" w:rsidRDefault="0054715B" w:rsidP="00201EA5">
      <w:pPr>
        <w:tabs>
          <w:tab w:val="center" w:pos="2548"/>
        </w:tabs>
        <w:ind w:left="0" w:firstLine="0"/>
        <w:jc w:val="both"/>
      </w:pPr>
      <w:r>
        <w:tab/>
      </w:r>
      <w:r>
        <w:rPr>
          <w:u w:val="single" w:color="000000"/>
        </w:rPr>
        <w:t>Bank Account No</w:t>
      </w:r>
      <w:r>
        <w:t>. – Self-explanatory.</w:t>
      </w:r>
    </w:p>
    <w:p w14:paraId="0BC627A1" w14:textId="1F74EC6B" w:rsidR="006A16F6" w:rsidRDefault="006A16F6" w:rsidP="00201EA5">
      <w:pPr>
        <w:spacing w:after="0" w:line="259" w:lineRule="auto"/>
        <w:ind w:left="0" w:firstLine="0"/>
        <w:jc w:val="both"/>
      </w:pPr>
    </w:p>
    <w:p w14:paraId="4BEB154B" w14:textId="39B556D7" w:rsidR="006A16F6" w:rsidRDefault="0054715B" w:rsidP="00BB3C4F">
      <w:pPr>
        <w:ind w:left="0" w:firstLine="0"/>
        <w:jc w:val="both"/>
      </w:pPr>
      <w:r>
        <w:tab/>
      </w:r>
      <w:r>
        <w:rPr>
          <w:u w:val="single" w:color="000000"/>
        </w:rPr>
        <w:t xml:space="preserve">Balance </w:t>
      </w:r>
      <w:r w:rsidR="00BB3C4F">
        <w:rPr>
          <w:u w:val="single" w:color="000000"/>
        </w:rPr>
        <w:t>0</w:t>
      </w:r>
      <w:r>
        <w:rPr>
          <w:u w:val="single" w:color="000000"/>
        </w:rPr>
        <w:t>6/30/</w:t>
      </w:r>
      <w:r w:rsidR="00276329">
        <w:rPr>
          <w:u w:val="single" w:color="000000"/>
        </w:rPr>
        <w:t>2023</w:t>
      </w:r>
      <w:r>
        <w:t xml:space="preserve"> – Book balance as of </w:t>
      </w:r>
      <w:r w:rsidR="00BB3C4F">
        <w:t>0</w:t>
      </w:r>
      <w:r>
        <w:t>6/30/</w:t>
      </w:r>
      <w:r w:rsidR="00276329">
        <w:t>2023</w:t>
      </w:r>
      <w:r>
        <w:t>.</w:t>
      </w:r>
    </w:p>
    <w:p w14:paraId="149CB4DE" w14:textId="79647CEF" w:rsidR="006A16F6" w:rsidRDefault="006A16F6" w:rsidP="00201EA5">
      <w:pPr>
        <w:spacing w:after="0" w:line="259" w:lineRule="auto"/>
        <w:ind w:left="0" w:firstLine="0"/>
        <w:jc w:val="both"/>
      </w:pPr>
    </w:p>
    <w:p w14:paraId="5AD35B39" w14:textId="419FD900" w:rsidR="006A16F6" w:rsidRDefault="0054715B" w:rsidP="00201EA5">
      <w:pPr>
        <w:ind w:left="715"/>
        <w:jc w:val="both"/>
      </w:pPr>
      <w:r>
        <w:rPr>
          <w:u w:val="single" w:color="000000"/>
        </w:rPr>
        <w:t>Amount Insured or Collateralized</w:t>
      </w:r>
      <w:r>
        <w:t xml:space="preserve"> – The dollar amount covered by federal deposit insurance or by collateral.  Provide detail insurance and collateral (</w:t>
      </w:r>
      <w:r w:rsidR="00134DBF">
        <w:t>i.e.,</w:t>
      </w:r>
      <w:r>
        <w:t xml:space="preserve"> FDIC).</w:t>
      </w:r>
    </w:p>
    <w:p w14:paraId="795F8AD8" w14:textId="77777777" w:rsidR="006A16F6" w:rsidRDefault="0054715B" w:rsidP="00201EA5">
      <w:pPr>
        <w:spacing w:after="0" w:line="259" w:lineRule="auto"/>
        <w:ind w:left="0" w:firstLine="0"/>
        <w:jc w:val="both"/>
      </w:pPr>
      <w:r>
        <w:t xml:space="preserve"> </w:t>
      </w:r>
    </w:p>
    <w:p w14:paraId="615E8B4F" w14:textId="5B406C86" w:rsidR="006A16F6" w:rsidRPr="00BB3C4F" w:rsidRDefault="0054715B" w:rsidP="00201EA5">
      <w:pPr>
        <w:pStyle w:val="Heading1"/>
        <w:numPr>
          <w:ilvl w:val="0"/>
          <w:numId w:val="7"/>
        </w:numPr>
        <w:jc w:val="both"/>
        <w:rPr>
          <w:b w:val="0"/>
          <w:u w:val="none"/>
        </w:rPr>
      </w:pPr>
      <w:r>
        <w:t>Investments Held Outside the State Treasury, Including Derivative</w:t>
      </w:r>
      <w:r>
        <w:rPr>
          <w:u w:val="none"/>
        </w:rPr>
        <w:t xml:space="preserve"> </w:t>
      </w:r>
      <w:r>
        <w:t>Instruments</w:t>
      </w:r>
    </w:p>
    <w:p w14:paraId="031345DF" w14:textId="0597AA04" w:rsidR="006A16F6" w:rsidRDefault="006A16F6" w:rsidP="00201EA5">
      <w:pPr>
        <w:spacing w:after="0" w:line="259" w:lineRule="auto"/>
        <w:ind w:left="0" w:firstLine="0"/>
        <w:jc w:val="both"/>
      </w:pPr>
    </w:p>
    <w:p w14:paraId="156C2C45" w14:textId="4E915478" w:rsidR="006A16F6" w:rsidRDefault="0054715B" w:rsidP="00201EA5">
      <w:pPr>
        <w:ind w:left="720" w:hanging="360"/>
        <w:jc w:val="both"/>
      </w:pPr>
      <w:r>
        <w:tab/>
      </w:r>
      <w:r>
        <w:rPr>
          <w:u w:val="single" w:color="000000"/>
        </w:rPr>
        <w:t>Financial Institution</w:t>
      </w:r>
      <w:r>
        <w:t xml:space="preserve"> – Name of the financial institution where the investments are held (</w:t>
      </w:r>
      <w:r w:rsidR="00134DBF">
        <w:t>i.e.,</w:t>
      </w:r>
      <w:r>
        <w:t xml:space="preserve"> ABC Fund, LLC).</w:t>
      </w:r>
    </w:p>
    <w:p w14:paraId="71EB05A5" w14:textId="266209C3" w:rsidR="006A16F6" w:rsidRDefault="006A16F6" w:rsidP="00201EA5">
      <w:pPr>
        <w:spacing w:after="0" w:line="259" w:lineRule="auto"/>
        <w:ind w:left="0" w:firstLine="0"/>
        <w:jc w:val="both"/>
      </w:pPr>
    </w:p>
    <w:p w14:paraId="60446CB9" w14:textId="4937AFE2" w:rsidR="006A16F6" w:rsidRDefault="0054715B" w:rsidP="00201EA5">
      <w:pPr>
        <w:ind w:left="720" w:hanging="720"/>
        <w:jc w:val="both"/>
      </w:pPr>
      <w:r>
        <w:tab/>
      </w:r>
      <w:r>
        <w:rPr>
          <w:u w:val="single" w:color="000000"/>
        </w:rPr>
        <w:t>Appropriation Acct. No</w:t>
      </w:r>
      <w:r>
        <w:t>. – Appropriation Account Number where the investment is recorded in FAMIS (</w:t>
      </w:r>
      <w:r w:rsidR="00134DBF">
        <w:t>i.e.,</w:t>
      </w:r>
      <w:r>
        <w:t xml:space="preserve"> S-343-B).</w:t>
      </w:r>
    </w:p>
    <w:p w14:paraId="3C0BD0B2" w14:textId="6E6F7148" w:rsidR="006A16F6" w:rsidRDefault="006A16F6" w:rsidP="00201EA5">
      <w:pPr>
        <w:spacing w:after="0" w:line="259" w:lineRule="auto"/>
        <w:ind w:left="0" w:firstLine="0"/>
        <w:jc w:val="both"/>
      </w:pPr>
    </w:p>
    <w:p w14:paraId="2C520E30" w14:textId="795166AA" w:rsidR="006A16F6" w:rsidRDefault="0054715B" w:rsidP="00201EA5">
      <w:pPr>
        <w:tabs>
          <w:tab w:val="center" w:pos="4382"/>
        </w:tabs>
        <w:ind w:left="0" w:firstLine="0"/>
        <w:jc w:val="both"/>
      </w:pPr>
      <w:r>
        <w:lastRenderedPageBreak/>
        <w:tab/>
      </w:r>
      <w:r>
        <w:rPr>
          <w:u w:val="single" w:color="000000"/>
        </w:rPr>
        <w:t>Account No</w:t>
      </w:r>
      <w:r>
        <w:t>. – The department’s account number at the financial institution.</w:t>
      </w:r>
    </w:p>
    <w:p w14:paraId="3B9C8B4C" w14:textId="73BDD381" w:rsidR="006A16F6" w:rsidRDefault="0054715B" w:rsidP="00201EA5">
      <w:pPr>
        <w:ind w:left="715"/>
        <w:jc w:val="both"/>
      </w:pPr>
      <w:r>
        <w:rPr>
          <w:u w:val="single" w:color="000000"/>
        </w:rPr>
        <w:t>Type of Investment</w:t>
      </w:r>
      <w:r>
        <w:t xml:space="preserve"> – Provide a brief description of the type of investment (</w:t>
      </w:r>
      <w:r w:rsidR="00134DBF">
        <w:t>i.e.,</w:t>
      </w:r>
      <w:r>
        <w:t xml:space="preserve"> LLC).</w:t>
      </w:r>
    </w:p>
    <w:p w14:paraId="1F49330F" w14:textId="1FA98D84" w:rsidR="006A16F6" w:rsidRDefault="0054715B" w:rsidP="00201EA5">
      <w:pPr>
        <w:ind w:left="715"/>
        <w:jc w:val="both"/>
      </w:pPr>
      <w:r>
        <w:rPr>
          <w:u w:val="single" w:color="000000"/>
        </w:rPr>
        <w:t>Derivative Instrument (Y/N)</w:t>
      </w:r>
      <w:r>
        <w:t xml:space="preserve"> – Indicate whether the investment is (Y) or is not (N) a derivative instrument.  GASB 53 defines a derivative instrument as a financial instrument or contract that has </w:t>
      </w:r>
      <w:r>
        <w:rPr>
          <w:u w:val="single" w:color="000000"/>
        </w:rPr>
        <w:t>ALL</w:t>
      </w:r>
      <w:r>
        <w:t xml:space="preserve"> the following characteristics:</w:t>
      </w:r>
    </w:p>
    <w:p w14:paraId="563883D1" w14:textId="77777777" w:rsidR="006A16F6" w:rsidRDefault="0054715B" w:rsidP="00201EA5">
      <w:pPr>
        <w:spacing w:after="0" w:line="259" w:lineRule="auto"/>
        <w:ind w:left="0" w:firstLine="0"/>
        <w:jc w:val="both"/>
      </w:pPr>
      <w:r>
        <w:t xml:space="preserve"> </w:t>
      </w:r>
    </w:p>
    <w:p w14:paraId="5125B9B3" w14:textId="0EA0960D" w:rsidR="006A16F6" w:rsidRDefault="0054715B" w:rsidP="00201EA5">
      <w:pPr>
        <w:numPr>
          <w:ilvl w:val="0"/>
          <w:numId w:val="3"/>
        </w:numPr>
        <w:ind w:hanging="360"/>
        <w:jc w:val="both"/>
      </w:pPr>
      <w:r>
        <w:rPr>
          <w:u w:val="single" w:color="000000"/>
        </w:rPr>
        <w:t>Settlement factors</w:t>
      </w:r>
      <w:r>
        <w:t xml:space="preserve"> – One or more reference rates (</w:t>
      </w:r>
      <w:r w:rsidR="00134DBF">
        <w:t>e.g.,</w:t>
      </w:r>
      <w:r>
        <w:t xml:space="preserve"> LIBOR, SIFMA, etc.) </w:t>
      </w:r>
      <w:r>
        <w:rPr>
          <w:u w:val="single" w:color="000000"/>
        </w:rPr>
        <w:t>and</w:t>
      </w:r>
      <w:r>
        <w:t xml:space="preserve"> two or more notional amounts (</w:t>
      </w:r>
      <w:r w:rsidR="00134DBF">
        <w:t>e.g.,</w:t>
      </w:r>
      <w:r>
        <w:t xml:space="preserve"> number of currency units, shares, bushels, etc.) </w:t>
      </w:r>
      <w:r>
        <w:rPr>
          <w:u w:val="single" w:color="000000"/>
        </w:rPr>
        <w:t>or</w:t>
      </w:r>
      <w:r>
        <w:t xml:space="preserve"> payment provisions, </w:t>
      </w:r>
      <w:r>
        <w:rPr>
          <w:u w:val="single" w:color="000000"/>
        </w:rPr>
        <w:t>or</w:t>
      </w:r>
      <w:r>
        <w:t xml:space="preserve"> both.</w:t>
      </w:r>
    </w:p>
    <w:p w14:paraId="2F51DA86" w14:textId="06057EE2" w:rsidR="006A16F6" w:rsidRDefault="0054715B" w:rsidP="00201EA5">
      <w:pPr>
        <w:numPr>
          <w:ilvl w:val="0"/>
          <w:numId w:val="3"/>
        </w:numPr>
        <w:ind w:hanging="360"/>
        <w:jc w:val="both"/>
      </w:pPr>
      <w:r>
        <w:rPr>
          <w:u w:val="single" w:color="000000"/>
        </w:rPr>
        <w:t>Leverage</w:t>
      </w:r>
      <w:r>
        <w:t xml:space="preserve"> – Requires no initial net investment or initial net investment lower than expected.</w:t>
      </w:r>
    </w:p>
    <w:p w14:paraId="72391FFE" w14:textId="1BE16764" w:rsidR="006A16F6" w:rsidRDefault="0054715B" w:rsidP="00201EA5">
      <w:pPr>
        <w:numPr>
          <w:ilvl w:val="0"/>
          <w:numId w:val="3"/>
        </w:numPr>
        <w:ind w:hanging="360"/>
        <w:jc w:val="both"/>
      </w:pPr>
      <w:r>
        <w:rPr>
          <w:u w:val="single" w:color="000000"/>
        </w:rPr>
        <w:t xml:space="preserve">Net Settlement </w:t>
      </w:r>
      <w:r>
        <w:t>– Requires or permits net settlement.</w:t>
      </w:r>
    </w:p>
    <w:p w14:paraId="148D40E6" w14:textId="44E1AC46" w:rsidR="006A16F6" w:rsidRDefault="006A16F6" w:rsidP="00201EA5">
      <w:pPr>
        <w:spacing w:after="0" w:line="259" w:lineRule="auto"/>
        <w:ind w:left="0" w:firstLine="0"/>
        <w:jc w:val="both"/>
      </w:pPr>
    </w:p>
    <w:p w14:paraId="09FF6125" w14:textId="702BDE47" w:rsidR="006A16F6" w:rsidRDefault="0054715B" w:rsidP="00201EA5">
      <w:pPr>
        <w:tabs>
          <w:tab w:val="center" w:pos="2395"/>
        </w:tabs>
        <w:ind w:left="0" w:firstLine="0"/>
        <w:jc w:val="both"/>
      </w:pPr>
      <w:r>
        <w:tab/>
      </w:r>
      <w:r>
        <w:rPr>
          <w:u w:val="single" w:color="000000"/>
        </w:rPr>
        <w:t>Purchase Date</w:t>
      </w:r>
      <w:r>
        <w:t xml:space="preserve"> – Self-explanatory.</w:t>
      </w:r>
    </w:p>
    <w:p w14:paraId="253E74A7" w14:textId="5DFB364A" w:rsidR="006A16F6" w:rsidRDefault="006A16F6" w:rsidP="00201EA5">
      <w:pPr>
        <w:spacing w:after="0" w:line="259" w:lineRule="auto"/>
        <w:ind w:left="0" w:firstLine="0"/>
        <w:jc w:val="both"/>
      </w:pPr>
    </w:p>
    <w:p w14:paraId="680DE496" w14:textId="0BAD1FD9" w:rsidR="006A16F6" w:rsidRDefault="0054715B" w:rsidP="00201EA5">
      <w:pPr>
        <w:tabs>
          <w:tab w:val="center" w:pos="2321"/>
        </w:tabs>
        <w:ind w:left="0" w:firstLine="0"/>
        <w:jc w:val="both"/>
      </w:pPr>
      <w:r>
        <w:tab/>
      </w:r>
      <w:r>
        <w:rPr>
          <w:u w:val="single" w:color="000000"/>
        </w:rPr>
        <w:t>Maturity Date</w:t>
      </w:r>
      <w:r>
        <w:t xml:space="preserve"> – Self-explanatory.</w:t>
      </w:r>
    </w:p>
    <w:p w14:paraId="780737FD" w14:textId="22BA60F8" w:rsidR="006A16F6" w:rsidRDefault="006A16F6" w:rsidP="00201EA5">
      <w:pPr>
        <w:spacing w:after="0" w:line="259" w:lineRule="auto"/>
        <w:ind w:left="0" w:firstLine="0"/>
        <w:jc w:val="both"/>
      </w:pPr>
    </w:p>
    <w:p w14:paraId="47FBDB86" w14:textId="3F344E63" w:rsidR="006A16F6" w:rsidRDefault="0054715B" w:rsidP="00201EA5">
      <w:pPr>
        <w:ind w:left="715"/>
        <w:jc w:val="both"/>
      </w:pPr>
      <w:r>
        <w:rPr>
          <w:u w:val="single" w:color="000000"/>
        </w:rPr>
        <w:t xml:space="preserve">Balance </w:t>
      </w:r>
      <w:r w:rsidR="00BB3C4F">
        <w:rPr>
          <w:u w:val="single" w:color="000000"/>
        </w:rPr>
        <w:t>0</w:t>
      </w:r>
      <w:r>
        <w:rPr>
          <w:u w:val="single" w:color="000000"/>
        </w:rPr>
        <w:t>6/30/</w:t>
      </w:r>
      <w:r w:rsidR="00276329">
        <w:rPr>
          <w:u w:val="single" w:color="000000"/>
        </w:rPr>
        <w:t>2023</w:t>
      </w:r>
      <w:r>
        <w:t xml:space="preserve"> – Book balance as of </w:t>
      </w:r>
      <w:r w:rsidR="00BB3C4F">
        <w:t>0</w:t>
      </w:r>
      <w:r>
        <w:t>6/30/</w:t>
      </w:r>
      <w:r w:rsidR="00276329">
        <w:t>2023</w:t>
      </w:r>
      <w:r>
        <w:t>.</w:t>
      </w:r>
    </w:p>
    <w:p w14:paraId="24216BD6" w14:textId="6326CD27" w:rsidR="006A16F6" w:rsidRDefault="006A16F6" w:rsidP="00201EA5">
      <w:pPr>
        <w:spacing w:after="0" w:line="259" w:lineRule="auto"/>
        <w:ind w:left="0" w:firstLine="0"/>
        <w:jc w:val="both"/>
      </w:pPr>
    </w:p>
    <w:p w14:paraId="3132C783" w14:textId="7988E91A" w:rsidR="006A16F6" w:rsidRDefault="0054715B" w:rsidP="00BB3C4F">
      <w:pPr>
        <w:ind w:left="0" w:firstLine="0"/>
        <w:jc w:val="both"/>
      </w:pPr>
      <w:r>
        <w:tab/>
      </w:r>
      <w:r>
        <w:rPr>
          <w:u w:val="single" w:color="000000"/>
        </w:rPr>
        <w:t xml:space="preserve">Market Value </w:t>
      </w:r>
      <w:r w:rsidR="00BB3C4F">
        <w:rPr>
          <w:u w:val="single" w:color="000000"/>
        </w:rPr>
        <w:t>0</w:t>
      </w:r>
      <w:r>
        <w:rPr>
          <w:u w:val="single" w:color="000000"/>
        </w:rPr>
        <w:t>6/30/</w:t>
      </w:r>
      <w:r w:rsidR="00276329">
        <w:rPr>
          <w:u w:val="single" w:color="000000"/>
        </w:rPr>
        <w:t>2023</w:t>
      </w:r>
      <w:r>
        <w:t xml:space="preserve"> – Market value as of </w:t>
      </w:r>
      <w:r w:rsidR="00BB3C4F">
        <w:t>0</w:t>
      </w:r>
      <w:r>
        <w:t>6/30/</w:t>
      </w:r>
      <w:r w:rsidR="00276329">
        <w:t>2023</w:t>
      </w:r>
      <w:r>
        <w:t>.</w:t>
      </w:r>
    </w:p>
    <w:p w14:paraId="041CAD1B" w14:textId="2C5837C4" w:rsidR="006A16F6" w:rsidRDefault="006A16F6" w:rsidP="00201EA5">
      <w:pPr>
        <w:spacing w:after="0" w:line="259" w:lineRule="auto"/>
        <w:ind w:left="0" w:firstLine="0"/>
        <w:jc w:val="both"/>
      </w:pPr>
    </w:p>
    <w:p w14:paraId="6805C032" w14:textId="472F9C7E" w:rsidR="006A16F6" w:rsidRPr="00BB3C4F" w:rsidRDefault="0054715B" w:rsidP="00BB3C4F">
      <w:pPr>
        <w:pStyle w:val="Heading1"/>
        <w:numPr>
          <w:ilvl w:val="0"/>
          <w:numId w:val="7"/>
        </w:numPr>
        <w:tabs>
          <w:tab w:val="left" w:pos="720"/>
        </w:tabs>
        <w:jc w:val="both"/>
        <w:rPr>
          <w:b w:val="0"/>
          <w:u w:val="none"/>
        </w:rPr>
      </w:pPr>
      <w:r>
        <w:t>Inventories (Supplies)</w:t>
      </w:r>
    </w:p>
    <w:p w14:paraId="3FAB2737" w14:textId="2A584BA2" w:rsidR="006A16F6" w:rsidRDefault="006A16F6" w:rsidP="00BB3C4F">
      <w:pPr>
        <w:spacing w:after="0" w:line="259" w:lineRule="auto"/>
        <w:jc w:val="both"/>
      </w:pPr>
    </w:p>
    <w:p w14:paraId="240C35C9" w14:textId="47AE6C5D" w:rsidR="006A16F6" w:rsidRDefault="0054715B" w:rsidP="00201EA5">
      <w:pPr>
        <w:ind w:left="715"/>
        <w:jc w:val="both"/>
      </w:pPr>
      <w:r w:rsidRPr="00201EA5">
        <w:t>If</w:t>
      </w:r>
      <w:r w:rsidRPr="008D4A08">
        <w:t xml:space="preserve"> </w:t>
      </w:r>
      <w:r>
        <w:t xml:space="preserve">the total value of consumable office supplies is </w:t>
      </w:r>
      <w:r>
        <w:rPr>
          <w:u w:val="single" w:color="000000"/>
        </w:rPr>
        <w:t>greater than $100,000</w:t>
      </w:r>
      <w:r>
        <w:t xml:space="preserve">, include a listing of consumable office supplies at </w:t>
      </w:r>
      <w:r w:rsidR="004E74D2">
        <w:t>0</w:t>
      </w:r>
      <w:r>
        <w:t>6/30/</w:t>
      </w:r>
      <w:r w:rsidR="00276329">
        <w:t>2023</w:t>
      </w:r>
      <w:r>
        <w:t xml:space="preserve">.  If the total value of consumable office supplies is less than or equal to $100,000, this schedule may be omitted. </w:t>
      </w:r>
    </w:p>
    <w:p w14:paraId="03781A78" w14:textId="77777777" w:rsidR="006A16F6" w:rsidRDefault="0054715B" w:rsidP="00201EA5">
      <w:pPr>
        <w:spacing w:after="0" w:line="259" w:lineRule="auto"/>
        <w:ind w:left="0" w:firstLine="0"/>
        <w:jc w:val="both"/>
      </w:pPr>
      <w:r>
        <w:t xml:space="preserve"> </w:t>
      </w:r>
    </w:p>
    <w:p w14:paraId="319C14C8" w14:textId="3A88D447" w:rsidR="006A16F6" w:rsidRDefault="0054715B" w:rsidP="00201EA5">
      <w:pPr>
        <w:ind w:left="715"/>
        <w:jc w:val="both"/>
      </w:pPr>
      <w:r>
        <w:rPr>
          <w:u w:val="single" w:color="000000"/>
        </w:rPr>
        <w:t>Description</w:t>
      </w:r>
      <w:r>
        <w:t xml:space="preserve"> – description of the supply (</w:t>
      </w:r>
      <w:r w:rsidR="00134DBF">
        <w:t>i.e.,</w:t>
      </w:r>
      <w:r>
        <w:t xml:space="preserve"> paper, pens, binders, etc.)  Do not include furniture and equipment as this information is captured through the </w:t>
      </w:r>
      <w:r w:rsidR="00C26090">
        <w:t xml:space="preserve">FAIS </w:t>
      </w:r>
      <w:r>
        <w:t xml:space="preserve">inventory system, as applicable. </w:t>
      </w:r>
    </w:p>
    <w:p w14:paraId="4BD6166C" w14:textId="7B955889" w:rsidR="006A16F6" w:rsidRDefault="006A16F6" w:rsidP="004E74D2">
      <w:pPr>
        <w:spacing w:after="0" w:line="259" w:lineRule="auto"/>
        <w:ind w:left="0" w:firstLine="0"/>
        <w:jc w:val="both"/>
      </w:pPr>
    </w:p>
    <w:p w14:paraId="6F26F7EF" w14:textId="15B0EDA5" w:rsidR="006A16F6" w:rsidRDefault="0054715B" w:rsidP="00201EA5">
      <w:pPr>
        <w:ind w:left="715"/>
        <w:jc w:val="both"/>
      </w:pPr>
      <w:r>
        <w:rPr>
          <w:u w:val="single" w:color="000000"/>
        </w:rPr>
        <w:t xml:space="preserve">Balance, </w:t>
      </w:r>
      <w:r w:rsidR="004E74D2">
        <w:rPr>
          <w:u w:val="single" w:color="000000"/>
        </w:rPr>
        <w:t>0</w:t>
      </w:r>
      <w:r>
        <w:rPr>
          <w:u w:val="single" w:color="000000"/>
        </w:rPr>
        <w:t>6/30/</w:t>
      </w:r>
      <w:r w:rsidR="00276329">
        <w:rPr>
          <w:u w:val="single" w:color="000000"/>
        </w:rPr>
        <w:t>2023</w:t>
      </w:r>
      <w:r w:rsidR="00D1417F">
        <w:t xml:space="preserve"> – book value at </w:t>
      </w:r>
      <w:r w:rsidR="004E74D2">
        <w:t>0</w:t>
      </w:r>
      <w:r w:rsidR="00D1417F">
        <w:t>6/30/</w:t>
      </w:r>
      <w:r w:rsidR="00276329">
        <w:t>2023</w:t>
      </w:r>
      <w:r>
        <w:t>.</w:t>
      </w:r>
    </w:p>
    <w:p w14:paraId="45028FB3" w14:textId="77777777" w:rsidR="006A16F6" w:rsidRDefault="0054715B" w:rsidP="00201EA5">
      <w:pPr>
        <w:spacing w:after="0" w:line="259" w:lineRule="auto"/>
        <w:ind w:left="0" w:firstLine="0"/>
        <w:jc w:val="both"/>
      </w:pPr>
      <w:r>
        <w:t xml:space="preserve"> </w:t>
      </w:r>
    </w:p>
    <w:p w14:paraId="0E4F93E2" w14:textId="4FA3EE7A" w:rsidR="006A16F6" w:rsidRPr="00BB3C4F" w:rsidRDefault="0054715B" w:rsidP="00BB3C4F">
      <w:pPr>
        <w:pStyle w:val="Heading1"/>
        <w:numPr>
          <w:ilvl w:val="0"/>
          <w:numId w:val="7"/>
        </w:numPr>
        <w:tabs>
          <w:tab w:val="left" w:pos="720"/>
        </w:tabs>
        <w:jc w:val="both"/>
        <w:rPr>
          <w:b w:val="0"/>
          <w:u w:val="none"/>
        </w:rPr>
      </w:pPr>
      <w:r>
        <w:t>Prepaid Expenses</w:t>
      </w:r>
    </w:p>
    <w:p w14:paraId="1DE8EE04" w14:textId="5F00A87E" w:rsidR="006A16F6" w:rsidRDefault="006A16F6" w:rsidP="00201EA5">
      <w:pPr>
        <w:spacing w:after="0" w:line="259" w:lineRule="auto"/>
        <w:ind w:left="0" w:firstLine="0"/>
        <w:jc w:val="both"/>
      </w:pPr>
    </w:p>
    <w:p w14:paraId="0BFFC9AD" w14:textId="292FD7D1" w:rsidR="006A16F6" w:rsidRDefault="0054715B" w:rsidP="00201EA5">
      <w:pPr>
        <w:ind w:left="715"/>
        <w:jc w:val="both"/>
      </w:pPr>
      <w:r w:rsidRPr="00137D9C">
        <w:t>If</w:t>
      </w:r>
      <w:r>
        <w:t xml:space="preserve"> the total value of prepaid expenses is </w:t>
      </w:r>
      <w:r>
        <w:rPr>
          <w:u w:val="single" w:color="000000"/>
        </w:rPr>
        <w:t>greater than $100,000</w:t>
      </w:r>
      <w:r>
        <w:t xml:space="preserve">, include a listing of prepaid expenses which are individually greater than $5,000 at </w:t>
      </w:r>
      <w:r w:rsidR="00BB3C4F">
        <w:t>0</w:t>
      </w:r>
      <w:r>
        <w:t>6/30/</w:t>
      </w:r>
      <w:r w:rsidR="00276329">
        <w:t>2023</w:t>
      </w:r>
      <w:r>
        <w:t>.  Include expenses paid in advance that have a future benefit (</w:t>
      </w:r>
      <w:r w:rsidR="00134DBF">
        <w:t>i.e.,</w:t>
      </w:r>
      <w:r>
        <w:t xml:space="preserve"> insurance).  If the total value of prepaid expenses is less than or equal to $100,000, this schedule may be omitted.</w:t>
      </w:r>
    </w:p>
    <w:p w14:paraId="6EE8AA7E" w14:textId="17B93A02" w:rsidR="006A16F6" w:rsidRDefault="006A16F6" w:rsidP="00201EA5">
      <w:pPr>
        <w:spacing w:after="0" w:line="259" w:lineRule="auto"/>
        <w:ind w:left="0" w:firstLine="0"/>
        <w:jc w:val="both"/>
      </w:pPr>
    </w:p>
    <w:p w14:paraId="6EE189E6" w14:textId="0455D7D3" w:rsidR="006A16F6" w:rsidRDefault="0054715B" w:rsidP="00201EA5">
      <w:pPr>
        <w:tabs>
          <w:tab w:val="center" w:pos="2217"/>
        </w:tabs>
        <w:ind w:left="0" w:firstLine="0"/>
        <w:jc w:val="both"/>
      </w:pPr>
      <w:r>
        <w:tab/>
      </w:r>
      <w:r>
        <w:rPr>
          <w:u w:val="single" w:color="000000"/>
        </w:rPr>
        <w:t>Description</w:t>
      </w:r>
      <w:r>
        <w:t xml:space="preserve"> – Self-explanatory.</w:t>
      </w:r>
    </w:p>
    <w:p w14:paraId="5D742C92" w14:textId="6C45633C" w:rsidR="006A16F6" w:rsidRDefault="006A16F6" w:rsidP="00201EA5">
      <w:pPr>
        <w:spacing w:after="0" w:line="259" w:lineRule="auto"/>
        <w:ind w:left="0" w:firstLine="0"/>
        <w:jc w:val="both"/>
      </w:pPr>
    </w:p>
    <w:p w14:paraId="4CDECC28" w14:textId="3C9B09C3" w:rsidR="006A16F6" w:rsidRDefault="0054715B" w:rsidP="00201EA5">
      <w:pPr>
        <w:tabs>
          <w:tab w:val="center" w:pos="4652"/>
        </w:tabs>
        <w:ind w:left="0" w:firstLine="0"/>
        <w:jc w:val="both"/>
      </w:pPr>
      <w:r>
        <w:tab/>
      </w:r>
      <w:r w:rsidR="009C7C10">
        <w:t xml:space="preserve"> </w:t>
      </w:r>
      <w:r w:rsidR="00D1417F">
        <w:rPr>
          <w:u w:val="single" w:color="000000"/>
        </w:rPr>
        <w:t xml:space="preserve">Balance </w:t>
      </w:r>
      <w:r w:rsidR="00F251A5">
        <w:rPr>
          <w:u w:val="single" w:color="000000"/>
        </w:rPr>
        <w:t>0</w:t>
      </w:r>
      <w:r w:rsidR="00D1417F">
        <w:rPr>
          <w:u w:val="single" w:color="000000"/>
        </w:rPr>
        <w:t>6/30/</w:t>
      </w:r>
      <w:r w:rsidR="00276329">
        <w:rPr>
          <w:u w:val="single" w:color="000000"/>
        </w:rPr>
        <w:t>2022</w:t>
      </w:r>
      <w:r>
        <w:rPr>
          <w:u w:val="single" w:color="000000"/>
        </w:rPr>
        <w:t xml:space="preserve"> </w:t>
      </w:r>
      <w:r>
        <w:t xml:space="preserve">– This amount should agree to your FY </w:t>
      </w:r>
      <w:r w:rsidR="00276329">
        <w:t>2022</w:t>
      </w:r>
      <w:r>
        <w:t xml:space="preserve"> ending balance.</w:t>
      </w:r>
    </w:p>
    <w:p w14:paraId="1A4B02AF" w14:textId="4E38FF5E" w:rsidR="006A16F6" w:rsidRDefault="006A16F6" w:rsidP="00201EA5">
      <w:pPr>
        <w:spacing w:after="0" w:line="259" w:lineRule="auto"/>
        <w:ind w:left="0" w:firstLine="0"/>
        <w:jc w:val="both"/>
      </w:pPr>
    </w:p>
    <w:p w14:paraId="4AB2B97B" w14:textId="58E7A708" w:rsidR="006A16F6" w:rsidRDefault="0054715B" w:rsidP="00201EA5">
      <w:pPr>
        <w:tabs>
          <w:tab w:val="center" w:pos="3344"/>
        </w:tabs>
        <w:ind w:left="0" w:firstLine="0"/>
        <w:jc w:val="both"/>
      </w:pPr>
      <w:r>
        <w:tab/>
      </w:r>
      <w:r>
        <w:rPr>
          <w:u w:val="single" w:color="000000"/>
        </w:rPr>
        <w:t>Additions</w:t>
      </w:r>
      <w:r>
        <w:t xml:space="preserve"> – Amounts paid in advance during FY </w:t>
      </w:r>
      <w:r w:rsidR="00276329">
        <w:t>2023</w:t>
      </w:r>
      <w:r>
        <w:t>.</w:t>
      </w:r>
    </w:p>
    <w:p w14:paraId="49FFC203" w14:textId="77777777" w:rsidR="00DD740B" w:rsidRDefault="00DD740B" w:rsidP="00201EA5">
      <w:pPr>
        <w:tabs>
          <w:tab w:val="center" w:pos="3344"/>
        </w:tabs>
        <w:ind w:left="0" w:firstLine="0"/>
        <w:jc w:val="both"/>
      </w:pPr>
    </w:p>
    <w:p w14:paraId="3CCB102F" w14:textId="73C2BA57" w:rsidR="006A16F6" w:rsidRDefault="0054715B" w:rsidP="00201EA5">
      <w:pPr>
        <w:tabs>
          <w:tab w:val="center" w:pos="3556"/>
        </w:tabs>
        <w:ind w:left="0" w:firstLine="0"/>
        <w:jc w:val="both"/>
      </w:pPr>
      <w:r>
        <w:tab/>
      </w:r>
      <w:r>
        <w:rPr>
          <w:u w:val="single" w:color="000000"/>
        </w:rPr>
        <w:t>Deletions</w:t>
      </w:r>
      <w:r>
        <w:t xml:space="preserve"> – Reductions due to benefit realized in FY </w:t>
      </w:r>
      <w:r w:rsidR="00276329">
        <w:t>2023</w:t>
      </w:r>
      <w:r>
        <w:t>.</w:t>
      </w:r>
    </w:p>
    <w:p w14:paraId="10737FDD" w14:textId="77777777" w:rsidR="00DD740B" w:rsidRDefault="00DD740B" w:rsidP="00201EA5">
      <w:pPr>
        <w:tabs>
          <w:tab w:val="center" w:pos="3556"/>
        </w:tabs>
        <w:ind w:left="0" w:firstLine="0"/>
        <w:jc w:val="both"/>
      </w:pPr>
    </w:p>
    <w:p w14:paraId="7C13E015" w14:textId="720EF10A" w:rsidR="006A16F6" w:rsidRDefault="00D1417F" w:rsidP="00201EA5">
      <w:pPr>
        <w:ind w:left="715"/>
        <w:jc w:val="both"/>
      </w:pPr>
      <w:r>
        <w:rPr>
          <w:u w:val="single" w:color="000000"/>
        </w:rPr>
        <w:t xml:space="preserve">Balance </w:t>
      </w:r>
      <w:r w:rsidR="00F251A5">
        <w:rPr>
          <w:u w:val="single" w:color="000000"/>
        </w:rPr>
        <w:t>0</w:t>
      </w:r>
      <w:r>
        <w:rPr>
          <w:u w:val="single" w:color="000000"/>
        </w:rPr>
        <w:t>6/30/</w:t>
      </w:r>
      <w:r w:rsidR="00276329">
        <w:rPr>
          <w:u w:val="single" w:color="000000"/>
        </w:rPr>
        <w:t>2023</w:t>
      </w:r>
      <w:r w:rsidR="0054715B">
        <w:t xml:space="preserve"> – Equal to Balance </w:t>
      </w:r>
      <w:r w:rsidR="00F251A5">
        <w:t>0</w:t>
      </w:r>
      <w:r w:rsidR="0054715B">
        <w:t>6/30/</w:t>
      </w:r>
      <w:r w:rsidR="00276329">
        <w:t>2022</w:t>
      </w:r>
      <w:r w:rsidR="0054715B">
        <w:t xml:space="preserve"> + Additions – Deletions.</w:t>
      </w:r>
    </w:p>
    <w:p w14:paraId="21887307" w14:textId="75F2A3CB" w:rsidR="006A16F6" w:rsidRDefault="006A16F6" w:rsidP="00201EA5">
      <w:pPr>
        <w:spacing w:after="0" w:line="259" w:lineRule="auto"/>
        <w:ind w:left="0" w:firstLine="0"/>
        <w:jc w:val="both"/>
      </w:pPr>
    </w:p>
    <w:p w14:paraId="0AB18E84" w14:textId="06C5AF69" w:rsidR="006A16F6" w:rsidRPr="00F251A5" w:rsidRDefault="0054715B" w:rsidP="00F251A5">
      <w:pPr>
        <w:pStyle w:val="Heading1"/>
        <w:numPr>
          <w:ilvl w:val="0"/>
          <w:numId w:val="7"/>
        </w:numPr>
        <w:tabs>
          <w:tab w:val="left" w:pos="720"/>
        </w:tabs>
        <w:jc w:val="both"/>
        <w:rPr>
          <w:b w:val="0"/>
          <w:u w:val="none"/>
        </w:rPr>
      </w:pPr>
      <w:r>
        <w:t>Construction Projects in Progress (CIP) Summary</w:t>
      </w:r>
    </w:p>
    <w:p w14:paraId="58B50F8E" w14:textId="703D9D3A" w:rsidR="006A16F6" w:rsidRDefault="006A16F6" w:rsidP="00F251A5">
      <w:pPr>
        <w:spacing w:after="0" w:line="259" w:lineRule="auto"/>
        <w:jc w:val="both"/>
      </w:pPr>
    </w:p>
    <w:p w14:paraId="35229DDE" w14:textId="68E71400" w:rsidR="006A16F6" w:rsidRDefault="0054715B" w:rsidP="00201EA5">
      <w:pPr>
        <w:ind w:left="715"/>
        <w:jc w:val="both"/>
      </w:pPr>
      <w:r>
        <w:t xml:space="preserve">Attach your CIP detail listing that supports the additions, deductions, and completed projects reflected in the CIP summary schedule.  </w:t>
      </w:r>
      <w:r>
        <w:rPr>
          <w:u w:val="single" w:color="000000"/>
        </w:rPr>
        <w:t>Exclude</w:t>
      </w:r>
      <w:r>
        <w:t xml:space="preserve"> projects delegated to DAGS where DAGS is the expending agency.  DOE, DHHL,</w:t>
      </w:r>
      <w:r w:rsidR="00FC61FA">
        <w:t xml:space="preserve"> DHS,</w:t>
      </w:r>
      <w:r>
        <w:t xml:space="preserve"> DLNR, JUD, and DOT Highways need not complete this schedule.</w:t>
      </w:r>
    </w:p>
    <w:p w14:paraId="0C0F1AFA" w14:textId="03F7416F" w:rsidR="006A16F6" w:rsidRDefault="006A16F6" w:rsidP="00F251A5">
      <w:pPr>
        <w:spacing w:after="0" w:line="259" w:lineRule="auto"/>
        <w:jc w:val="both"/>
      </w:pPr>
    </w:p>
    <w:p w14:paraId="3A8AADAE" w14:textId="12C95057" w:rsidR="006A16F6" w:rsidRDefault="0054715B" w:rsidP="00201EA5">
      <w:pPr>
        <w:ind w:left="715"/>
        <w:jc w:val="both"/>
      </w:pPr>
      <w:r>
        <w:rPr>
          <w:u w:val="single" w:color="000000"/>
        </w:rPr>
        <w:t xml:space="preserve">Beginning Balance </w:t>
      </w:r>
      <w:r w:rsidR="00F251A5">
        <w:rPr>
          <w:u w:val="single" w:color="000000"/>
        </w:rPr>
        <w:t>0</w:t>
      </w:r>
      <w:r>
        <w:rPr>
          <w:u w:val="single" w:color="000000"/>
        </w:rPr>
        <w:t>6/30/</w:t>
      </w:r>
      <w:r w:rsidR="00276329">
        <w:rPr>
          <w:u w:val="single" w:color="000000"/>
        </w:rPr>
        <w:t>2022</w:t>
      </w:r>
      <w:r>
        <w:t xml:space="preserve"> – This amount should agree to your FY </w:t>
      </w:r>
      <w:r w:rsidR="00276329">
        <w:t>2022</w:t>
      </w:r>
      <w:r>
        <w:t xml:space="preserve"> ending CIP balance.</w:t>
      </w:r>
    </w:p>
    <w:p w14:paraId="7535C346" w14:textId="5F68B93B" w:rsidR="001D072B" w:rsidRDefault="001D072B" w:rsidP="00201EA5">
      <w:pPr>
        <w:ind w:left="715"/>
        <w:jc w:val="both"/>
      </w:pPr>
      <w:r>
        <w:rPr>
          <w:u w:val="single" w:color="000000"/>
        </w:rPr>
        <w:t>If applicable, the be</w:t>
      </w:r>
      <w:r w:rsidR="00DD1F85">
        <w:rPr>
          <w:u w:val="single" w:color="000000"/>
        </w:rPr>
        <w:t xml:space="preserve">ginning </w:t>
      </w:r>
      <w:r w:rsidR="00F251A5">
        <w:rPr>
          <w:u w:val="single" w:color="000000"/>
        </w:rPr>
        <w:t>0</w:t>
      </w:r>
      <w:r w:rsidR="00DD1F85">
        <w:rPr>
          <w:u w:val="single" w:color="000000"/>
        </w:rPr>
        <w:t>6/30/</w:t>
      </w:r>
      <w:r w:rsidR="00276329">
        <w:rPr>
          <w:u w:val="single" w:color="000000"/>
        </w:rPr>
        <w:t>2022</w:t>
      </w:r>
      <w:r w:rsidR="00DD1F85">
        <w:rPr>
          <w:u w:val="single" w:color="000000"/>
        </w:rPr>
        <w:t xml:space="preserve"> balance should agree to your department’s </w:t>
      </w:r>
      <w:r w:rsidR="00C26090">
        <w:rPr>
          <w:u w:val="single" w:color="000000"/>
        </w:rPr>
        <w:t xml:space="preserve">annual </w:t>
      </w:r>
      <w:r w:rsidR="00DD1F85">
        <w:rPr>
          <w:u w:val="single" w:color="000000"/>
        </w:rPr>
        <w:t xml:space="preserve">financial audit report </w:t>
      </w:r>
      <w:r w:rsidR="00F251A5">
        <w:rPr>
          <w:u w:val="single" w:color="000000"/>
        </w:rPr>
        <w:t>0</w:t>
      </w:r>
      <w:r w:rsidR="00DD1F85">
        <w:rPr>
          <w:u w:val="single" w:color="000000"/>
        </w:rPr>
        <w:t>6/30/</w:t>
      </w:r>
      <w:r w:rsidR="00276329">
        <w:rPr>
          <w:u w:val="single" w:color="000000"/>
        </w:rPr>
        <w:t>2022</w:t>
      </w:r>
      <w:r w:rsidR="00DD1F85">
        <w:rPr>
          <w:u w:val="single" w:color="000000"/>
        </w:rPr>
        <w:t xml:space="preserve"> ending balance</w:t>
      </w:r>
      <w:r w:rsidR="00DD1F85" w:rsidRPr="00F251A5">
        <w:t>.</w:t>
      </w:r>
    </w:p>
    <w:p w14:paraId="2A91572E" w14:textId="79AD957F" w:rsidR="006A16F6" w:rsidRDefault="006A16F6" w:rsidP="00F251A5">
      <w:pPr>
        <w:spacing w:after="0" w:line="259" w:lineRule="auto"/>
        <w:jc w:val="both"/>
      </w:pPr>
    </w:p>
    <w:p w14:paraId="24CA5834" w14:textId="1A93A0D3" w:rsidR="006A16F6" w:rsidRDefault="0054715B" w:rsidP="00201EA5">
      <w:pPr>
        <w:ind w:left="715"/>
        <w:jc w:val="both"/>
      </w:pPr>
      <w:r>
        <w:rPr>
          <w:u w:val="single" w:color="000000"/>
        </w:rPr>
        <w:t>Additions</w:t>
      </w:r>
      <w:r>
        <w:t xml:space="preserve"> – Amounts incurred and transfers in during FY </w:t>
      </w:r>
      <w:r w:rsidR="00276329">
        <w:t>2023</w:t>
      </w:r>
      <w:r>
        <w:t>.</w:t>
      </w:r>
    </w:p>
    <w:p w14:paraId="01A68A3A" w14:textId="116029FB" w:rsidR="006A16F6" w:rsidRDefault="006A16F6" w:rsidP="00F251A5">
      <w:pPr>
        <w:spacing w:after="0" w:line="259" w:lineRule="auto"/>
        <w:jc w:val="both"/>
      </w:pPr>
    </w:p>
    <w:p w14:paraId="6D11838C" w14:textId="4C4B8C09" w:rsidR="006A16F6" w:rsidRDefault="0054715B" w:rsidP="00201EA5">
      <w:pPr>
        <w:ind w:left="715"/>
        <w:jc w:val="both"/>
      </w:pPr>
      <w:r>
        <w:rPr>
          <w:u w:val="single" w:color="000000"/>
        </w:rPr>
        <w:t>Deductions</w:t>
      </w:r>
      <w:r>
        <w:t xml:space="preserve"> – Reductions due to deletions and transfers out to related capital asset accounts during FY </w:t>
      </w:r>
      <w:r w:rsidR="00276329">
        <w:t>2023</w:t>
      </w:r>
      <w:r>
        <w:t>.</w:t>
      </w:r>
    </w:p>
    <w:p w14:paraId="53F07FB4" w14:textId="31373762" w:rsidR="006A16F6" w:rsidRDefault="006A16F6" w:rsidP="00F251A5">
      <w:pPr>
        <w:spacing w:after="0" w:line="259" w:lineRule="auto"/>
        <w:jc w:val="both"/>
      </w:pPr>
    </w:p>
    <w:p w14:paraId="4C600CB5" w14:textId="6C406F43" w:rsidR="006A16F6" w:rsidRDefault="0054715B" w:rsidP="00201EA5">
      <w:pPr>
        <w:ind w:left="715"/>
        <w:jc w:val="both"/>
      </w:pPr>
      <w:r>
        <w:rPr>
          <w:u w:val="single" w:color="000000"/>
        </w:rPr>
        <w:t xml:space="preserve">Ending Balance </w:t>
      </w:r>
      <w:r w:rsidR="00F251A5">
        <w:rPr>
          <w:u w:val="single" w:color="000000"/>
        </w:rPr>
        <w:t>0</w:t>
      </w:r>
      <w:r>
        <w:rPr>
          <w:u w:val="single" w:color="000000"/>
        </w:rPr>
        <w:t>6/30/</w:t>
      </w:r>
      <w:r w:rsidR="00276329">
        <w:rPr>
          <w:u w:val="single" w:color="000000"/>
        </w:rPr>
        <w:t>2023</w:t>
      </w:r>
      <w:r>
        <w:t xml:space="preserve"> – Equal to Beginning balance </w:t>
      </w:r>
      <w:r w:rsidR="00F251A5">
        <w:t>0</w:t>
      </w:r>
      <w:r>
        <w:t>6/30/</w:t>
      </w:r>
      <w:r w:rsidR="00276329">
        <w:t>2022</w:t>
      </w:r>
      <w:r>
        <w:t xml:space="preserve"> + Additions – Deductions.</w:t>
      </w:r>
    </w:p>
    <w:p w14:paraId="1BD4604F" w14:textId="14415473" w:rsidR="006A16F6" w:rsidRDefault="006A16F6" w:rsidP="00F251A5">
      <w:pPr>
        <w:spacing w:after="0" w:line="259" w:lineRule="auto"/>
        <w:jc w:val="both"/>
      </w:pPr>
    </w:p>
    <w:p w14:paraId="3D7F8766" w14:textId="364ADED2" w:rsidR="006A16F6" w:rsidRPr="00201EA5" w:rsidRDefault="0054715B" w:rsidP="00F251A5">
      <w:pPr>
        <w:pStyle w:val="Heading1"/>
        <w:numPr>
          <w:ilvl w:val="0"/>
          <w:numId w:val="7"/>
        </w:numPr>
        <w:tabs>
          <w:tab w:val="left" w:pos="720"/>
        </w:tabs>
        <w:jc w:val="both"/>
        <w:rPr>
          <w:b w:val="0"/>
          <w:u w:val="none"/>
        </w:rPr>
      </w:pPr>
      <w:r>
        <w:t>Impaired Assets</w:t>
      </w:r>
    </w:p>
    <w:p w14:paraId="607A1F95" w14:textId="2C0B217C" w:rsidR="006A16F6" w:rsidRDefault="006A16F6" w:rsidP="00201EA5">
      <w:pPr>
        <w:spacing w:after="0" w:line="259" w:lineRule="auto"/>
        <w:ind w:left="0" w:firstLine="0"/>
        <w:jc w:val="both"/>
      </w:pPr>
    </w:p>
    <w:p w14:paraId="481A7490" w14:textId="7152F7FA" w:rsidR="006A16F6" w:rsidRDefault="0054715B" w:rsidP="00201EA5">
      <w:pPr>
        <w:ind w:left="715"/>
        <w:jc w:val="both"/>
      </w:pPr>
      <w:r>
        <w:t xml:space="preserve">GASB 42 defines impaired assets as assets where </w:t>
      </w:r>
      <w:r>
        <w:rPr>
          <w:u w:val="single" w:color="000000"/>
        </w:rPr>
        <w:t>BOTH</w:t>
      </w:r>
      <w:r>
        <w:t xml:space="preserve"> of the following criteria are met:</w:t>
      </w:r>
    </w:p>
    <w:p w14:paraId="39F6A58F" w14:textId="421066F1" w:rsidR="006A16F6" w:rsidRDefault="006A16F6" w:rsidP="00201EA5">
      <w:pPr>
        <w:spacing w:after="0" w:line="259" w:lineRule="auto"/>
        <w:ind w:left="0" w:firstLine="0"/>
        <w:jc w:val="both"/>
      </w:pPr>
    </w:p>
    <w:p w14:paraId="463A3258" w14:textId="7A3BE800" w:rsidR="006A16F6" w:rsidRDefault="0054715B" w:rsidP="00201EA5">
      <w:pPr>
        <w:numPr>
          <w:ilvl w:val="0"/>
          <w:numId w:val="4"/>
        </w:numPr>
        <w:ind w:hanging="360"/>
        <w:jc w:val="both"/>
      </w:pPr>
      <w:r>
        <w:t>The magnitude of the decline in service utility of the capital asset is significant,</w:t>
      </w:r>
    </w:p>
    <w:p w14:paraId="41AA3A2D" w14:textId="67403BD6" w:rsidR="006A16F6" w:rsidRDefault="0054715B" w:rsidP="00201EA5">
      <w:pPr>
        <w:ind w:left="1090"/>
        <w:jc w:val="both"/>
      </w:pPr>
      <w:r>
        <w:rPr>
          <w:u w:val="single" w:color="000000"/>
        </w:rPr>
        <w:t>AND</w:t>
      </w:r>
    </w:p>
    <w:p w14:paraId="3A86B2E1" w14:textId="26447A0E" w:rsidR="006A16F6" w:rsidRDefault="0054715B" w:rsidP="00201EA5">
      <w:pPr>
        <w:numPr>
          <w:ilvl w:val="0"/>
          <w:numId w:val="4"/>
        </w:numPr>
        <w:ind w:hanging="360"/>
        <w:jc w:val="both"/>
      </w:pPr>
      <w:r>
        <w:t>The decline in service utility is unexpected (the event or change in circumstance is outside the normal life cycle).</w:t>
      </w:r>
    </w:p>
    <w:p w14:paraId="5C89361B" w14:textId="0A49FDAD" w:rsidR="006A16F6" w:rsidRDefault="006A16F6" w:rsidP="00201EA5">
      <w:pPr>
        <w:spacing w:after="0" w:line="259" w:lineRule="auto"/>
        <w:ind w:left="0" w:firstLine="0"/>
        <w:jc w:val="both"/>
      </w:pPr>
    </w:p>
    <w:p w14:paraId="16ED97E2" w14:textId="2B3501A7" w:rsidR="006A16F6" w:rsidRDefault="0054715B" w:rsidP="00201EA5">
      <w:pPr>
        <w:tabs>
          <w:tab w:val="center" w:pos="3294"/>
        </w:tabs>
        <w:ind w:left="0" w:firstLine="0"/>
        <w:jc w:val="both"/>
      </w:pPr>
      <w:r>
        <w:tab/>
        <w:t>Include the following per the FAMIS report MDB 902:</w:t>
      </w:r>
    </w:p>
    <w:p w14:paraId="33E8660F" w14:textId="2B8D31AB" w:rsidR="006A16F6" w:rsidRDefault="006A16F6" w:rsidP="00201EA5">
      <w:pPr>
        <w:spacing w:after="0" w:line="259" w:lineRule="auto"/>
        <w:ind w:left="0" w:firstLine="0"/>
        <w:jc w:val="both"/>
      </w:pPr>
    </w:p>
    <w:p w14:paraId="32418D03" w14:textId="20220778" w:rsidR="00F251A5" w:rsidRDefault="00F251A5" w:rsidP="00201EA5">
      <w:pPr>
        <w:ind w:left="-5" w:right="4455"/>
        <w:jc w:val="both"/>
      </w:pPr>
      <w:r>
        <w:tab/>
      </w:r>
      <w:r>
        <w:tab/>
      </w:r>
      <w:r w:rsidR="0054715B">
        <w:tab/>
      </w:r>
      <w:r w:rsidR="0054715B">
        <w:rPr>
          <w:u w:val="single" w:color="000000"/>
        </w:rPr>
        <w:t>Asset Type</w:t>
      </w:r>
      <w:r w:rsidR="0054715B">
        <w:t xml:space="preserve"> (</w:t>
      </w:r>
      <w:r w:rsidR="00134DBF">
        <w:t>i.e.,</w:t>
      </w:r>
      <w:r w:rsidR="0054715B">
        <w:t xml:space="preserve"> Building)</w:t>
      </w:r>
    </w:p>
    <w:p w14:paraId="75A026B0" w14:textId="186D4F94" w:rsidR="006A16F6" w:rsidRDefault="00F251A5" w:rsidP="00201EA5">
      <w:pPr>
        <w:ind w:left="-5" w:right="4455"/>
        <w:jc w:val="both"/>
      </w:pPr>
      <w:r>
        <w:tab/>
      </w:r>
      <w:r>
        <w:tab/>
      </w:r>
      <w:r w:rsidR="0054715B">
        <w:tab/>
      </w:r>
      <w:r w:rsidR="0054715B">
        <w:rPr>
          <w:u w:val="single" w:color="000000"/>
        </w:rPr>
        <w:t>Description</w:t>
      </w:r>
      <w:r w:rsidR="0054715B">
        <w:t xml:space="preserve"> </w:t>
      </w:r>
    </w:p>
    <w:p w14:paraId="1BF91498" w14:textId="76011EBC" w:rsidR="006A16F6" w:rsidRDefault="0054715B" w:rsidP="00201EA5">
      <w:pPr>
        <w:tabs>
          <w:tab w:val="center" w:pos="1576"/>
        </w:tabs>
        <w:ind w:left="-15" w:firstLine="0"/>
        <w:jc w:val="both"/>
      </w:pPr>
      <w:r>
        <w:tab/>
      </w:r>
      <w:r>
        <w:rPr>
          <w:u w:val="single" w:color="000000"/>
        </w:rPr>
        <w:t>Maint Control No</w:t>
      </w:r>
      <w:r w:rsidRPr="00F251A5">
        <w:t>.</w:t>
      </w:r>
    </w:p>
    <w:p w14:paraId="3D97B900" w14:textId="3B097CAF" w:rsidR="006A16F6" w:rsidRDefault="0054715B" w:rsidP="00201EA5">
      <w:pPr>
        <w:tabs>
          <w:tab w:val="center" w:pos="1417"/>
        </w:tabs>
        <w:ind w:left="-15" w:firstLine="0"/>
        <w:jc w:val="both"/>
      </w:pPr>
      <w:r>
        <w:tab/>
      </w:r>
      <w:r>
        <w:rPr>
          <w:u w:val="single" w:color="000000"/>
        </w:rPr>
        <w:t>Year Acquired</w:t>
      </w:r>
    </w:p>
    <w:p w14:paraId="00A10E2B" w14:textId="19966E13" w:rsidR="006A16F6" w:rsidRDefault="0054715B" w:rsidP="00201EA5">
      <w:pPr>
        <w:tabs>
          <w:tab w:val="center" w:pos="946"/>
        </w:tabs>
        <w:ind w:left="-15" w:firstLine="0"/>
        <w:jc w:val="both"/>
      </w:pPr>
      <w:r>
        <w:tab/>
      </w:r>
      <w:r>
        <w:rPr>
          <w:u w:val="single" w:color="000000"/>
        </w:rPr>
        <w:t>Cost</w:t>
      </w:r>
    </w:p>
    <w:p w14:paraId="3DA940F1" w14:textId="4FE4DA45" w:rsidR="006A16F6" w:rsidRDefault="0054715B" w:rsidP="00201EA5">
      <w:pPr>
        <w:tabs>
          <w:tab w:val="center" w:pos="2004"/>
        </w:tabs>
        <w:ind w:left="-15" w:firstLine="0"/>
        <w:jc w:val="both"/>
      </w:pPr>
      <w:r>
        <w:tab/>
      </w:r>
      <w:r>
        <w:rPr>
          <w:u w:val="single" w:color="000000"/>
        </w:rPr>
        <w:t>Accumulated Depreciation</w:t>
      </w:r>
    </w:p>
    <w:p w14:paraId="212D35AB" w14:textId="0E87AD25" w:rsidR="006A16F6" w:rsidRDefault="006A16F6" w:rsidP="00201EA5">
      <w:pPr>
        <w:spacing w:after="0" w:line="259" w:lineRule="auto"/>
        <w:ind w:left="0" w:firstLine="0"/>
        <w:jc w:val="both"/>
      </w:pPr>
    </w:p>
    <w:p w14:paraId="5E70B770" w14:textId="3492A5B3" w:rsidR="006A16F6" w:rsidRDefault="0054715B" w:rsidP="00201EA5">
      <w:pPr>
        <w:tabs>
          <w:tab w:val="center" w:pos="3732"/>
        </w:tabs>
        <w:ind w:left="0" w:firstLine="0"/>
        <w:jc w:val="both"/>
      </w:pPr>
      <w:r>
        <w:tab/>
        <w:t xml:space="preserve">Calculate </w:t>
      </w:r>
      <w:r>
        <w:rPr>
          <w:u w:val="single" w:color="000000"/>
        </w:rPr>
        <w:t>Net Book Value</w:t>
      </w:r>
      <w:r>
        <w:t xml:space="preserve"> = Cost – Accumulated Depreciation</w:t>
      </w:r>
    </w:p>
    <w:p w14:paraId="253A271F" w14:textId="78EBA20F" w:rsidR="006A16F6" w:rsidRDefault="006A16F6" w:rsidP="00201EA5">
      <w:pPr>
        <w:spacing w:after="0" w:line="259" w:lineRule="auto"/>
        <w:ind w:left="0" w:firstLine="0"/>
        <w:jc w:val="both"/>
      </w:pPr>
    </w:p>
    <w:p w14:paraId="42FB8529" w14:textId="62BCBEDC" w:rsidR="006A16F6" w:rsidRDefault="0054715B" w:rsidP="00201EA5">
      <w:pPr>
        <w:ind w:left="720" w:hanging="720"/>
        <w:jc w:val="both"/>
      </w:pPr>
      <w:r>
        <w:lastRenderedPageBreak/>
        <w:tab/>
      </w:r>
      <w:r>
        <w:rPr>
          <w:u w:val="single" w:color="000000"/>
        </w:rPr>
        <w:t>Reason Asset is Considered Impaired</w:t>
      </w:r>
      <w:r>
        <w:t xml:space="preserve"> – Include a brief statement regarding why the asset is considered impaired. DAGS and/or the auditors may contact you for further details.</w:t>
      </w:r>
    </w:p>
    <w:p w14:paraId="07DCFF84" w14:textId="77777777" w:rsidR="00D532B2" w:rsidRDefault="00D532B2" w:rsidP="00D13DE3">
      <w:pPr>
        <w:spacing w:after="0" w:line="259" w:lineRule="auto"/>
        <w:ind w:left="720" w:hanging="450"/>
        <w:jc w:val="both"/>
      </w:pPr>
    </w:p>
    <w:p w14:paraId="0DBBE303" w14:textId="0DA82D42" w:rsidR="006A16F6" w:rsidRDefault="0054715B" w:rsidP="00D13DE3">
      <w:pPr>
        <w:spacing w:after="0" w:line="259" w:lineRule="auto"/>
        <w:ind w:left="720" w:hanging="450"/>
        <w:jc w:val="both"/>
      </w:pPr>
      <w:r>
        <w:t>7a.</w:t>
      </w:r>
      <w:r w:rsidR="00F251A5">
        <w:tab/>
      </w:r>
      <w:r>
        <w:t xml:space="preserve">Vouchers Payable by Fund </w:t>
      </w:r>
    </w:p>
    <w:p w14:paraId="7C00AE32" w14:textId="636C048B" w:rsidR="006A16F6" w:rsidRDefault="006A16F6" w:rsidP="00611543">
      <w:pPr>
        <w:spacing w:after="0" w:line="259" w:lineRule="auto"/>
        <w:jc w:val="both"/>
      </w:pPr>
    </w:p>
    <w:p w14:paraId="2BE32473" w14:textId="17A9C3D9" w:rsidR="006A16F6" w:rsidRDefault="0054715B" w:rsidP="002C1A1D">
      <w:pPr>
        <w:ind w:left="720" w:hanging="360"/>
        <w:jc w:val="both"/>
      </w:pPr>
      <w:r>
        <w:tab/>
        <w:t>Include vendor invoi</w:t>
      </w:r>
      <w:r w:rsidR="00D1417F">
        <w:t xml:space="preserve">ces not paid as of June 30, </w:t>
      </w:r>
      <w:r w:rsidR="00276329">
        <w:t>2023</w:t>
      </w:r>
      <w:r>
        <w:t xml:space="preserve"> for goods received or services rendered prior to July 1, </w:t>
      </w:r>
      <w:r w:rsidR="00276329">
        <w:t>2023</w:t>
      </w:r>
      <w:r w:rsidR="00134DBF">
        <w:t>.</w:t>
      </w:r>
      <w:r>
        <w:t xml:space="preserve">  </w:t>
      </w:r>
      <w:r w:rsidR="002C1A1D" w:rsidRPr="002C1A1D">
        <w:rPr>
          <w:b/>
          <w:bCs/>
          <w:color w:val="FF0000"/>
        </w:rPr>
        <w:t>SOURCE OF INFORMATION SHOULD BE FAMIS, BEING THE STATE’S OFFICIAL ACCOUNTING SYSTEM</w:t>
      </w:r>
      <w:r w:rsidR="002C1A1D">
        <w:t>.</w:t>
      </w:r>
    </w:p>
    <w:p w14:paraId="48233509" w14:textId="77777777" w:rsidR="002C1A1D" w:rsidRDefault="002C1A1D" w:rsidP="00611543">
      <w:pPr>
        <w:jc w:val="both"/>
      </w:pPr>
    </w:p>
    <w:p w14:paraId="6E550CFE" w14:textId="7FDD8AC9" w:rsidR="006A16F6" w:rsidRDefault="0054715B" w:rsidP="00611543">
      <w:pPr>
        <w:ind w:left="2160" w:hanging="1450"/>
        <w:jc w:val="both"/>
      </w:pPr>
      <w:r>
        <w:rPr>
          <w:u w:val="single" w:color="000000"/>
        </w:rPr>
        <w:t>Trans Code</w:t>
      </w:r>
      <w:r>
        <w:t xml:space="preserve"> – Transaction Code per FAMIS (221, 231, 232, 241, 244, 245, 561, </w:t>
      </w:r>
      <w:r w:rsidR="00134DBF">
        <w:t>565, 804</w:t>
      </w:r>
      <w:r>
        <w:t xml:space="preserve">) </w:t>
      </w:r>
    </w:p>
    <w:p w14:paraId="4FE05579" w14:textId="4F4B8243" w:rsidR="006A16F6" w:rsidRDefault="006A16F6" w:rsidP="00611543">
      <w:pPr>
        <w:spacing w:after="0" w:line="259" w:lineRule="auto"/>
        <w:jc w:val="both"/>
      </w:pPr>
    </w:p>
    <w:p w14:paraId="6C3BDDB1" w14:textId="795B084D" w:rsidR="006A16F6" w:rsidRDefault="0054715B" w:rsidP="00201EA5">
      <w:pPr>
        <w:ind w:left="715"/>
        <w:jc w:val="both"/>
      </w:pPr>
      <w:r>
        <w:rPr>
          <w:u w:val="single" w:color="000000"/>
        </w:rPr>
        <w:t>F-FY-ACCT</w:t>
      </w:r>
      <w:r>
        <w:t xml:space="preserve"> – F-FY-ACCT per FAMIS (</w:t>
      </w:r>
      <w:r w:rsidR="00134DBF">
        <w:t>i.e.,</w:t>
      </w:r>
      <w:r>
        <w:t xml:space="preserve"> </w:t>
      </w:r>
      <w:r w:rsidR="00DF1296" w:rsidRPr="00DF7121">
        <w:t>G-</w:t>
      </w:r>
      <w:r w:rsidR="00DF7121" w:rsidRPr="00DF7121">
        <w:t>2</w:t>
      </w:r>
      <w:r w:rsidR="00441818">
        <w:t>3</w:t>
      </w:r>
      <w:r w:rsidR="00DF1296" w:rsidRPr="00DF7121">
        <w:t xml:space="preserve">-002, </w:t>
      </w:r>
      <w:r w:rsidRPr="00DF7121">
        <w:t>S-</w:t>
      </w:r>
      <w:r w:rsidR="00DF1296" w:rsidRPr="00DF7121">
        <w:t>2</w:t>
      </w:r>
      <w:r w:rsidR="00441818">
        <w:t>3</w:t>
      </w:r>
      <w:r w:rsidR="007377BC">
        <w:t>-</w:t>
      </w:r>
      <w:r w:rsidRPr="00DF7121">
        <w:t>325)</w:t>
      </w:r>
    </w:p>
    <w:p w14:paraId="4FB4CE3B" w14:textId="1F81C459" w:rsidR="006A16F6" w:rsidRDefault="006A16F6" w:rsidP="00611543">
      <w:pPr>
        <w:spacing w:after="0" w:line="259" w:lineRule="auto"/>
        <w:jc w:val="both"/>
      </w:pPr>
    </w:p>
    <w:p w14:paraId="66587BE2" w14:textId="50563A49" w:rsidR="006A16F6" w:rsidRDefault="0054715B" w:rsidP="00201EA5">
      <w:pPr>
        <w:ind w:left="715"/>
        <w:jc w:val="both"/>
      </w:pPr>
      <w:r>
        <w:rPr>
          <w:u w:val="single" w:color="000000"/>
        </w:rPr>
        <w:t>Object Code</w:t>
      </w:r>
      <w:r>
        <w:t xml:space="preserve"> – Object Code per FAMIS (</w:t>
      </w:r>
      <w:r w:rsidR="00DF1296">
        <w:t>29</w:t>
      </w:r>
      <w:r>
        <w:t>XX – 59XX, 71XX-89XX)</w:t>
      </w:r>
    </w:p>
    <w:p w14:paraId="6B956DC2" w14:textId="1706E5F4" w:rsidR="006A16F6" w:rsidRDefault="006A16F6" w:rsidP="00611543">
      <w:pPr>
        <w:spacing w:after="0" w:line="259" w:lineRule="auto"/>
        <w:jc w:val="both"/>
      </w:pPr>
    </w:p>
    <w:p w14:paraId="5EA09174" w14:textId="77777777" w:rsidR="006A16F6" w:rsidRDefault="0054715B" w:rsidP="00201EA5">
      <w:pPr>
        <w:ind w:left="730"/>
        <w:jc w:val="both"/>
      </w:pPr>
      <w:r>
        <w:rPr>
          <w:u w:val="single" w:color="000000"/>
        </w:rPr>
        <w:t>Amounts</w:t>
      </w:r>
      <w:r>
        <w:t xml:space="preserve"> </w:t>
      </w:r>
    </w:p>
    <w:p w14:paraId="50F8F139" w14:textId="7EB07689" w:rsidR="006A16F6" w:rsidRDefault="006A16F6" w:rsidP="00611543">
      <w:pPr>
        <w:spacing w:after="0" w:line="259" w:lineRule="auto"/>
        <w:jc w:val="both"/>
      </w:pPr>
    </w:p>
    <w:p w14:paraId="794AE8A0" w14:textId="6B103A0F" w:rsidR="006A16F6" w:rsidRDefault="0054715B" w:rsidP="00201EA5">
      <w:pPr>
        <w:tabs>
          <w:tab w:val="center" w:pos="720"/>
          <w:tab w:val="center" w:pos="3959"/>
        </w:tabs>
        <w:ind w:left="0" w:firstLine="0"/>
        <w:jc w:val="both"/>
      </w:pPr>
      <w:r>
        <w:rPr>
          <w:rFonts w:ascii="Calibri" w:eastAsia="Calibri" w:hAnsi="Calibri" w:cs="Calibri"/>
        </w:rPr>
        <w:tab/>
      </w:r>
      <w:r>
        <w:tab/>
      </w:r>
      <w:r>
        <w:rPr>
          <w:u w:val="single" w:color="000000"/>
        </w:rPr>
        <w:t>Payment</w:t>
      </w:r>
      <w:r>
        <w:t xml:space="preserve"> – include total payment amount (</w:t>
      </w:r>
      <w:r w:rsidR="00134DBF">
        <w:t>i.e.,</w:t>
      </w:r>
      <w:r>
        <w:t xml:space="preserve"> $100)</w:t>
      </w:r>
    </w:p>
    <w:p w14:paraId="49CB48EC" w14:textId="6A23E30D" w:rsidR="006A16F6" w:rsidRDefault="006A16F6" w:rsidP="00611543">
      <w:pPr>
        <w:spacing w:after="0" w:line="259" w:lineRule="auto"/>
        <w:jc w:val="both"/>
      </w:pPr>
    </w:p>
    <w:p w14:paraId="16B956E2" w14:textId="5801B134" w:rsidR="006A16F6" w:rsidRDefault="0054715B" w:rsidP="00201EA5">
      <w:pPr>
        <w:ind w:left="1450"/>
        <w:jc w:val="both"/>
      </w:pPr>
      <w:r>
        <w:rPr>
          <w:u w:val="single" w:color="000000"/>
        </w:rPr>
        <w:t>Encumbered/Unencumbered</w:t>
      </w:r>
      <w:r>
        <w:t xml:space="preserve"> – Use these columns for </w:t>
      </w:r>
      <w:r>
        <w:rPr>
          <w:b/>
          <w:u w:val="single" w:color="000000"/>
        </w:rPr>
        <w:t>General Fund</w:t>
      </w:r>
      <w:r>
        <w:rPr>
          <w:b/>
        </w:rPr>
        <w:t xml:space="preserve"> </w:t>
      </w:r>
      <w:r>
        <w:rPr>
          <w:b/>
          <w:u w:val="single" w:color="000000"/>
        </w:rPr>
        <w:t>vouchers only</w:t>
      </w:r>
      <w:r w:rsidRPr="00611543">
        <w:t>.</w:t>
      </w:r>
    </w:p>
    <w:p w14:paraId="5F46EB13" w14:textId="53F7F2A1" w:rsidR="006A16F6" w:rsidRDefault="006A16F6" w:rsidP="00611543">
      <w:pPr>
        <w:spacing w:after="0" w:line="259" w:lineRule="auto"/>
        <w:jc w:val="both"/>
      </w:pPr>
    </w:p>
    <w:p w14:paraId="3EB522FA" w14:textId="26F5BA62" w:rsidR="006A16F6" w:rsidRDefault="0054715B" w:rsidP="00201EA5">
      <w:pPr>
        <w:ind w:left="1450"/>
        <w:jc w:val="both"/>
      </w:pPr>
      <w:r>
        <w:t xml:space="preserve">If the payment was </w:t>
      </w:r>
      <w:r>
        <w:rPr>
          <w:u w:val="single" w:color="000000"/>
        </w:rPr>
        <w:t>encumbered</w:t>
      </w:r>
      <w:r>
        <w:t xml:space="preserve"> as of </w:t>
      </w:r>
      <w:r w:rsidR="00611543">
        <w:t>0</w:t>
      </w:r>
      <w:r>
        <w:t>6/30/</w:t>
      </w:r>
      <w:r w:rsidR="00276329">
        <w:t>2023</w:t>
      </w:r>
      <w:r>
        <w:t>, include the voucher amount (</w:t>
      </w:r>
      <w:r w:rsidR="00134DBF">
        <w:t>i.e.,</w:t>
      </w:r>
      <w:r>
        <w:t xml:space="preserve"> $100) in the “Encumbered” column.</w:t>
      </w:r>
    </w:p>
    <w:p w14:paraId="460B99F3" w14:textId="444D589B" w:rsidR="006A16F6" w:rsidRDefault="006A16F6" w:rsidP="00611543">
      <w:pPr>
        <w:spacing w:after="0" w:line="259" w:lineRule="auto"/>
        <w:jc w:val="both"/>
      </w:pPr>
    </w:p>
    <w:p w14:paraId="461DE3E8" w14:textId="42EBD42E" w:rsidR="006A16F6" w:rsidRDefault="0054715B" w:rsidP="00611543">
      <w:pPr>
        <w:tabs>
          <w:tab w:val="center" w:pos="1851"/>
        </w:tabs>
        <w:ind w:left="0" w:firstLine="0"/>
        <w:jc w:val="both"/>
      </w:pPr>
      <w:r>
        <w:rPr>
          <w:rFonts w:ascii="Calibri" w:eastAsia="Calibri" w:hAnsi="Calibri" w:cs="Calibri"/>
        </w:rPr>
        <w:tab/>
      </w:r>
      <w:r w:rsidR="00024BC6">
        <w:rPr>
          <w:rFonts w:ascii="Calibri" w:eastAsia="Calibri" w:hAnsi="Calibri" w:cs="Calibri"/>
        </w:rPr>
        <w:t>•</w:t>
      </w:r>
      <w:r>
        <w:t xml:space="preserve"> </w:t>
      </w:r>
      <w:r>
        <w:tab/>
      </w:r>
      <w:r>
        <w:rPr>
          <w:u w:val="single" w:color="000000"/>
        </w:rPr>
        <w:t xml:space="preserve">Do not include F-FY-Acct = </w:t>
      </w:r>
      <w:r w:rsidR="00441818">
        <w:rPr>
          <w:u w:val="single" w:color="000000"/>
        </w:rPr>
        <w:t>G</w:t>
      </w:r>
      <w:r>
        <w:rPr>
          <w:u w:val="single" w:color="000000"/>
        </w:rPr>
        <w:t>-</w:t>
      </w:r>
      <w:r w:rsidR="002C1A1D">
        <w:rPr>
          <w:u w:val="single" w:color="000000"/>
        </w:rPr>
        <w:t>2</w:t>
      </w:r>
      <w:r w:rsidR="00441818">
        <w:rPr>
          <w:u w:val="single" w:color="000000"/>
        </w:rPr>
        <w:t>4</w:t>
      </w:r>
      <w:r>
        <w:rPr>
          <w:u w:val="single" w:color="000000"/>
        </w:rPr>
        <w:t>-</w:t>
      </w:r>
      <w:r w:rsidR="00441818">
        <w:rPr>
          <w:u w:val="single" w:color="000000"/>
        </w:rPr>
        <w:t>Acct</w:t>
      </w:r>
      <w:r>
        <w:rPr>
          <w:u w:val="single" w:color="000000"/>
        </w:rPr>
        <w:t xml:space="preserve"> vouchers in the</w:t>
      </w:r>
    </w:p>
    <w:p w14:paraId="03BD12F4" w14:textId="70DD22FA" w:rsidR="006A16F6" w:rsidRDefault="0054715B" w:rsidP="00201EA5">
      <w:pPr>
        <w:ind w:left="2170"/>
        <w:jc w:val="both"/>
      </w:pPr>
      <w:r>
        <w:rPr>
          <w:u w:val="single" w:color="000000"/>
        </w:rPr>
        <w:t>“Encumbered” column as these vouchers were not encumbered as</w:t>
      </w:r>
      <w:r>
        <w:t xml:space="preserve"> </w:t>
      </w:r>
      <w:r>
        <w:rPr>
          <w:u w:val="single" w:color="000000"/>
        </w:rPr>
        <w:t xml:space="preserve">of </w:t>
      </w:r>
      <w:r w:rsidR="00611543">
        <w:rPr>
          <w:u w:val="single" w:color="000000"/>
        </w:rPr>
        <w:t>0</w:t>
      </w:r>
      <w:r>
        <w:rPr>
          <w:u w:val="single" w:color="000000"/>
        </w:rPr>
        <w:t>6/30/</w:t>
      </w:r>
      <w:r w:rsidR="00276329">
        <w:rPr>
          <w:u w:val="single" w:color="000000"/>
        </w:rPr>
        <w:t>2023</w:t>
      </w:r>
      <w:r w:rsidRPr="00611543">
        <w:t>.</w:t>
      </w:r>
    </w:p>
    <w:p w14:paraId="078CBBB0" w14:textId="610C38E8" w:rsidR="006A16F6" w:rsidRDefault="006A16F6" w:rsidP="00611543">
      <w:pPr>
        <w:spacing w:after="0" w:line="259" w:lineRule="auto"/>
        <w:jc w:val="both"/>
      </w:pPr>
    </w:p>
    <w:p w14:paraId="3D090663" w14:textId="6B844933" w:rsidR="006A16F6" w:rsidRDefault="0054715B" w:rsidP="00201EA5">
      <w:pPr>
        <w:ind w:left="1450"/>
        <w:jc w:val="both"/>
      </w:pPr>
      <w:r>
        <w:t xml:space="preserve">If the voucher was </w:t>
      </w:r>
      <w:r>
        <w:rPr>
          <w:u w:val="single" w:color="000000"/>
        </w:rPr>
        <w:t>unencumbered</w:t>
      </w:r>
      <w:r>
        <w:t xml:space="preserve"> as of </w:t>
      </w:r>
      <w:r w:rsidR="00611543">
        <w:t>0</w:t>
      </w:r>
      <w:r>
        <w:t>6/30/</w:t>
      </w:r>
      <w:r w:rsidR="00276329">
        <w:t>2023</w:t>
      </w:r>
      <w:r>
        <w:t>, include the voucher amount (</w:t>
      </w:r>
      <w:r w:rsidR="00134DBF">
        <w:t>i.e.,</w:t>
      </w:r>
      <w:r>
        <w:t xml:space="preserve"> $100) in the “Unencumbered” column.</w:t>
      </w:r>
    </w:p>
    <w:p w14:paraId="1E46C754" w14:textId="30161092" w:rsidR="006A16F6" w:rsidRDefault="006A16F6" w:rsidP="00611543">
      <w:pPr>
        <w:spacing w:after="0" w:line="259" w:lineRule="auto"/>
        <w:jc w:val="both"/>
      </w:pPr>
    </w:p>
    <w:p w14:paraId="1C59A04F" w14:textId="5986766C" w:rsidR="006A16F6" w:rsidRDefault="0054715B" w:rsidP="00201EA5">
      <w:pPr>
        <w:ind w:left="715"/>
        <w:jc w:val="both"/>
      </w:pPr>
      <w:r>
        <w:rPr>
          <w:u w:val="single" w:color="000000"/>
        </w:rPr>
        <w:t>Vendor Name</w:t>
      </w:r>
      <w:r>
        <w:t xml:space="preserve"> – Per FAMIS, self-explanatory</w:t>
      </w:r>
    </w:p>
    <w:p w14:paraId="3567B26B" w14:textId="1679EEB8" w:rsidR="006A16F6" w:rsidRDefault="006A16F6" w:rsidP="00611543">
      <w:pPr>
        <w:spacing w:after="0" w:line="259" w:lineRule="auto"/>
        <w:jc w:val="both"/>
      </w:pPr>
    </w:p>
    <w:p w14:paraId="663483CB" w14:textId="5EC7C862" w:rsidR="006A16F6" w:rsidRDefault="0054715B" w:rsidP="00201EA5">
      <w:pPr>
        <w:ind w:left="715"/>
        <w:jc w:val="both"/>
      </w:pPr>
      <w:r>
        <w:rPr>
          <w:u w:val="single" w:color="000000"/>
        </w:rPr>
        <w:t>Invoice No.</w:t>
      </w:r>
      <w:r>
        <w:t xml:space="preserve"> – Per FAMIS, self-explanatory</w:t>
      </w:r>
    </w:p>
    <w:p w14:paraId="07B0E32F" w14:textId="315F32A4" w:rsidR="006A16F6" w:rsidRDefault="006A16F6" w:rsidP="00611543">
      <w:pPr>
        <w:spacing w:after="0" w:line="259" w:lineRule="auto"/>
        <w:jc w:val="both"/>
      </w:pPr>
    </w:p>
    <w:p w14:paraId="28082CC9" w14:textId="448B7592" w:rsidR="006A16F6" w:rsidRDefault="0054715B" w:rsidP="00201EA5">
      <w:pPr>
        <w:ind w:left="730"/>
        <w:jc w:val="both"/>
      </w:pPr>
      <w:r>
        <w:rPr>
          <w:u w:val="single" w:color="000000"/>
        </w:rPr>
        <w:t>Invoice Date</w:t>
      </w:r>
      <w:r>
        <w:t xml:space="preserve"> – Per FAMIS.  </w:t>
      </w:r>
      <w:r>
        <w:rPr>
          <w:u w:val="single" w:color="000000"/>
        </w:rPr>
        <w:t xml:space="preserve">Invoice date may be before or after </w:t>
      </w:r>
      <w:r w:rsidR="00611543">
        <w:rPr>
          <w:u w:val="single" w:color="000000"/>
        </w:rPr>
        <w:t>0</w:t>
      </w:r>
      <w:r>
        <w:rPr>
          <w:u w:val="single" w:color="000000"/>
        </w:rPr>
        <w:t>7/</w:t>
      </w:r>
      <w:r w:rsidR="00611543">
        <w:rPr>
          <w:u w:val="single" w:color="000000"/>
        </w:rPr>
        <w:t>0</w:t>
      </w:r>
      <w:r>
        <w:rPr>
          <w:u w:val="single" w:color="000000"/>
        </w:rPr>
        <w:t>1/</w:t>
      </w:r>
      <w:r w:rsidR="00276329">
        <w:rPr>
          <w:u w:val="single" w:color="000000"/>
        </w:rPr>
        <w:t>2023</w:t>
      </w:r>
      <w:r>
        <w:rPr>
          <w:u w:val="single" w:color="000000"/>
        </w:rPr>
        <w:t>; as long</w:t>
      </w:r>
      <w:r>
        <w:t xml:space="preserve"> </w:t>
      </w:r>
      <w:r>
        <w:rPr>
          <w:u w:val="single" w:color="000000"/>
        </w:rPr>
        <w:t xml:space="preserve">as goods </w:t>
      </w:r>
      <w:r w:rsidR="00441818">
        <w:rPr>
          <w:u w:val="single" w:color="000000"/>
        </w:rPr>
        <w:t xml:space="preserve">were </w:t>
      </w:r>
      <w:r>
        <w:rPr>
          <w:u w:val="single" w:color="000000"/>
        </w:rPr>
        <w:t>received or ser</w:t>
      </w:r>
      <w:r w:rsidR="00192E73">
        <w:rPr>
          <w:u w:val="single" w:color="000000"/>
        </w:rPr>
        <w:t xml:space="preserve">vices rendered prior to </w:t>
      </w:r>
      <w:r w:rsidR="00611543">
        <w:rPr>
          <w:u w:val="single" w:color="000000"/>
        </w:rPr>
        <w:t>0</w:t>
      </w:r>
      <w:r w:rsidR="00192E73">
        <w:rPr>
          <w:u w:val="single" w:color="000000"/>
        </w:rPr>
        <w:t>7/</w:t>
      </w:r>
      <w:r w:rsidR="00611543">
        <w:rPr>
          <w:u w:val="single" w:color="000000"/>
        </w:rPr>
        <w:t>0</w:t>
      </w:r>
      <w:r w:rsidR="00192E73">
        <w:rPr>
          <w:u w:val="single" w:color="000000"/>
        </w:rPr>
        <w:t>1/</w:t>
      </w:r>
      <w:r w:rsidR="00276329">
        <w:rPr>
          <w:u w:val="single" w:color="000000"/>
        </w:rPr>
        <w:t>2023</w:t>
      </w:r>
      <w:r w:rsidRPr="00611543">
        <w:t>.</w:t>
      </w:r>
    </w:p>
    <w:p w14:paraId="5CAAE306" w14:textId="434E8E9F" w:rsidR="006A16F6" w:rsidRDefault="006A16F6" w:rsidP="00611543">
      <w:pPr>
        <w:spacing w:after="0" w:line="259" w:lineRule="auto"/>
        <w:jc w:val="both"/>
      </w:pPr>
    </w:p>
    <w:p w14:paraId="22D44C60" w14:textId="37C25356" w:rsidR="006A16F6" w:rsidRDefault="0054715B" w:rsidP="00201EA5">
      <w:pPr>
        <w:ind w:left="715"/>
        <w:jc w:val="both"/>
      </w:pPr>
      <w:r>
        <w:rPr>
          <w:u w:val="single" w:color="000000"/>
        </w:rPr>
        <w:t>Comptroller Voucher No.</w:t>
      </w:r>
      <w:r>
        <w:t xml:space="preserve"> – Per FAMIS, self-explanatory</w:t>
      </w:r>
    </w:p>
    <w:p w14:paraId="4582C7A1" w14:textId="3503E176" w:rsidR="006A16F6" w:rsidRDefault="006A16F6" w:rsidP="00611543">
      <w:pPr>
        <w:spacing w:after="0" w:line="259" w:lineRule="auto"/>
        <w:jc w:val="both"/>
      </w:pPr>
    </w:p>
    <w:p w14:paraId="453153A3" w14:textId="70ED2FD3" w:rsidR="006A16F6" w:rsidRDefault="0054715B" w:rsidP="00201EA5">
      <w:pPr>
        <w:ind w:left="715"/>
        <w:jc w:val="both"/>
      </w:pPr>
      <w:r>
        <w:rPr>
          <w:u w:val="single" w:color="000000"/>
        </w:rPr>
        <w:t>Dept Voucher No.</w:t>
      </w:r>
      <w:r>
        <w:t xml:space="preserve"> – Per FAMIS, self-explanatory</w:t>
      </w:r>
    </w:p>
    <w:p w14:paraId="1062807D" w14:textId="5650A830" w:rsidR="006A16F6" w:rsidRDefault="006A16F6" w:rsidP="00611543">
      <w:pPr>
        <w:spacing w:after="0" w:line="259" w:lineRule="auto"/>
        <w:jc w:val="both"/>
      </w:pPr>
    </w:p>
    <w:p w14:paraId="2DE800F2" w14:textId="00CBE0D4" w:rsidR="006A16F6" w:rsidRDefault="0054715B" w:rsidP="00201EA5">
      <w:pPr>
        <w:ind w:left="730"/>
        <w:jc w:val="both"/>
      </w:pPr>
      <w:r>
        <w:rPr>
          <w:u w:val="single" w:color="000000"/>
        </w:rPr>
        <w:lastRenderedPageBreak/>
        <w:t>Processing Date</w:t>
      </w:r>
      <w:r>
        <w:t xml:space="preserve"> – Per FAMIS.  </w:t>
      </w:r>
      <w:r>
        <w:rPr>
          <w:u w:val="single" w:color="000000"/>
        </w:rPr>
        <w:t xml:space="preserve">All processing dates must be </w:t>
      </w:r>
      <w:r w:rsidR="00611543">
        <w:rPr>
          <w:u w:val="single" w:color="000000"/>
        </w:rPr>
        <w:t>0</w:t>
      </w:r>
      <w:r>
        <w:rPr>
          <w:u w:val="single" w:color="000000"/>
        </w:rPr>
        <w:t>7/</w:t>
      </w:r>
      <w:r w:rsidR="00611543">
        <w:rPr>
          <w:u w:val="single" w:color="000000"/>
        </w:rPr>
        <w:t>0</w:t>
      </w:r>
      <w:r>
        <w:rPr>
          <w:u w:val="single" w:color="000000"/>
        </w:rPr>
        <w:t>1/</w:t>
      </w:r>
      <w:r w:rsidR="00276329">
        <w:rPr>
          <w:u w:val="single" w:color="000000"/>
        </w:rPr>
        <w:t>2023</w:t>
      </w:r>
      <w:r>
        <w:rPr>
          <w:u w:val="single" w:color="000000"/>
        </w:rPr>
        <w:t xml:space="preserve"> </w:t>
      </w:r>
      <w:r w:rsidR="00EE65F4">
        <w:rPr>
          <w:u w:val="single" w:color="000000"/>
        </w:rPr>
        <w:t xml:space="preserve">to </w:t>
      </w:r>
      <w:r w:rsidR="00611543">
        <w:rPr>
          <w:u w:val="single" w:color="000000"/>
        </w:rPr>
        <w:t>0</w:t>
      </w:r>
      <w:r w:rsidR="00EE65F4">
        <w:rPr>
          <w:u w:val="single" w:color="000000"/>
        </w:rPr>
        <w:t>9/30/</w:t>
      </w:r>
      <w:r w:rsidR="00276329">
        <w:rPr>
          <w:u w:val="single" w:color="000000"/>
        </w:rPr>
        <w:t>2023</w:t>
      </w:r>
      <w:r w:rsidR="00EE65F4" w:rsidRPr="00611543">
        <w:t>.</w:t>
      </w:r>
    </w:p>
    <w:p w14:paraId="38790CF8" w14:textId="74CE3C56" w:rsidR="006A16F6" w:rsidRDefault="006A16F6" w:rsidP="00611543">
      <w:pPr>
        <w:spacing w:after="0" w:line="259" w:lineRule="auto"/>
        <w:jc w:val="both"/>
      </w:pPr>
    </w:p>
    <w:p w14:paraId="16F363C2" w14:textId="7563C4A7" w:rsidR="006A16F6" w:rsidRDefault="0054715B" w:rsidP="00201EA5">
      <w:pPr>
        <w:ind w:left="730"/>
        <w:jc w:val="both"/>
      </w:pPr>
      <w:r>
        <w:rPr>
          <w:u w:val="single" w:color="000000"/>
        </w:rPr>
        <w:t>Prior to submitting the information departments should identify and provide</w:t>
      </w:r>
      <w:r>
        <w:t xml:space="preserve"> </w:t>
      </w:r>
      <w:r>
        <w:rPr>
          <w:u w:val="single" w:color="000000"/>
        </w:rPr>
        <w:t>explanations for large fluctuations by Fund total from the prior year</w:t>
      </w:r>
      <w:r w:rsidRPr="00611543">
        <w:t>.</w:t>
      </w:r>
    </w:p>
    <w:p w14:paraId="1246BEE7" w14:textId="0F7C3148" w:rsidR="006A16F6" w:rsidRDefault="006A16F6" w:rsidP="00611543">
      <w:pPr>
        <w:spacing w:after="0" w:line="259" w:lineRule="auto"/>
        <w:jc w:val="both"/>
      </w:pPr>
    </w:p>
    <w:p w14:paraId="3F166AF3" w14:textId="2A7B5F50" w:rsidR="006A16F6" w:rsidRDefault="0054715B" w:rsidP="00201EA5">
      <w:pPr>
        <w:ind w:left="715"/>
        <w:jc w:val="both"/>
      </w:pPr>
      <w:r>
        <w:t>Departments are also requested to report any material amounts identified after the initial submission.</w:t>
      </w:r>
    </w:p>
    <w:p w14:paraId="5A11CD9C" w14:textId="5A0456D4" w:rsidR="006A16F6" w:rsidRDefault="006A16F6" w:rsidP="00611543">
      <w:pPr>
        <w:spacing w:after="0" w:line="259" w:lineRule="auto"/>
        <w:jc w:val="both"/>
      </w:pPr>
    </w:p>
    <w:p w14:paraId="7809B1A2" w14:textId="0FAFE6BE" w:rsidR="006A16F6" w:rsidRPr="00611543" w:rsidRDefault="0054715B" w:rsidP="00D13DE3">
      <w:pPr>
        <w:pStyle w:val="Heading1"/>
        <w:tabs>
          <w:tab w:val="left" w:pos="720"/>
        </w:tabs>
        <w:ind w:left="720" w:hanging="450"/>
        <w:jc w:val="both"/>
        <w:rPr>
          <w:b w:val="0"/>
          <w:u w:val="none"/>
        </w:rPr>
      </w:pPr>
      <w:r>
        <w:rPr>
          <w:b w:val="0"/>
          <w:u w:val="none"/>
        </w:rPr>
        <w:t>7b</w:t>
      </w:r>
      <w:r w:rsidR="00181A69">
        <w:rPr>
          <w:b w:val="0"/>
          <w:u w:val="none"/>
        </w:rPr>
        <w:t>.</w:t>
      </w:r>
      <w:r w:rsidR="00611543">
        <w:rPr>
          <w:b w:val="0"/>
          <w:u w:val="none"/>
        </w:rPr>
        <w:tab/>
      </w:r>
      <w:r w:rsidR="0013078E">
        <w:rPr>
          <w:b w:val="0"/>
          <w:u w:val="none"/>
        </w:rPr>
        <w:t xml:space="preserve"> </w:t>
      </w:r>
      <w:r>
        <w:t>Accrued Payroll by Fund</w:t>
      </w:r>
    </w:p>
    <w:p w14:paraId="26F09D7F" w14:textId="434B7D21" w:rsidR="006A16F6" w:rsidRDefault="006A16F6" w:rsidP="00611543">
      <w:pPr>
        <w:spacing w:after="0" w:line="259" w:lineRule="auto"/>
        <w:jc w:val="both"/>
      </w:pPr>
    </w:p>
    <w:p w14:paraId="77D6DE89" w14:textId="153123F3" w:rsidR="006A16F6" w:rsidRDefault="0054715B" w:rsidP="00201EA5">
      <w:pPr>
        <w:ind w:left="720" w:hanging="360"/>
        <w:jc w:val="both"/>
      </w:pPr>
      <w:r>
        <w:tab/>
        <w:t xml:space="preserve">Include wages and salaries by Fund earned as of June 30, </w:t>
      </w:r>
      <w:r w:rsidR="00276329">
        <w:t>2023</w:t>
      </w:r>
      <w:r w:rsidR="00192E73">
        <w:t xml:space="preserve"> but paid after </w:t>
      </w:r>
      <w:r w:rsidR="00611543">
        <w:t xml:space="preserve">     </w:t>
      </w:r>
      <w:r w:rsidR="00192E73">
        <w:t xml:space="preserve">June 30, </w:t>
      </w:r>
      <w:r w:rsidR="00276329">
        <w:t>2023</w:t>
      </w:r>
      <w:r>
        <w:t>.  For the General Fund only, indicate whether amounts were encumbered or unencumbered.</w:t>
      </w:r>
    </w:p>
    <w:p w14:paraId="09241FF7" w14:textId="30BDD81D" w:rsidR="006A16F6" w:rsidRDefault="006A16F6" w:rsidP="00611543">
      <w:pPr>
        <w:spacing w:after="0" w:line="259" w:lineRule="auto"/>
        <w:jc w:val="both"/>
      </w:pPr>
    </w:p>
    <w:p w14:paraId="49EAF350" w14:textId="2F8EED9D" w:rsidR="006A16F6" w:rsidRDefault="0054715B" w:rsidP="00201EA5">
      <w:pPr>
        <w:tabs>
          <w:tab w:val="center" w:pos="360"/>
          <w:tab w:val="center" w:pos="3300"/>
        </w:tabs>
        <w:ind w:left="0" w:firstLine="0"/>
        <w:jc w:val="both"/>
      </w:pPr>
      <w:r>
        <w:rPr>
          <w:rFonts w:ascii="Calibri" w:eastAsia="Calibri" w:hAnsi="Calibri" w:cs="Calibri"/>
        </w:rPr>
        <w:tab/>
      </w:r>
      <w:r>
        <w:tab/>
        <w:t>Include dollar amounts in cells highlighted in blue for:</w:t>
      </w:r>
    </w:p>
    <w:p w14:paraId="558520D3" w14:textId="193E6C9D" w:rsidR="006A16F6" w:rsidRDefault="006A16F6" w:rsidP="00611543">
      <w:pPr>
        <w:spacing w:after="0" w:line="259" w:lineRule="auto"/>
        <w:jc w:val="both"/>
      </w:pPr>
    </w:p>
    <w:p w14:paraId="6F49138B" w14:textId="4F24F17D" w:rsidR="006A16F6" w:rsidRDefault="0054715B" w:rsidP="00611543">
      <w:pPr>
        <w:numPr>
          <w:ilvl w:val="0"/>
          <w:numId w:val="5"/>
        </w:numPr>
        <w:ind w:left="1080" w:hanging="360"/>
        <w:jc w:val="both"/>
      </w:pPr>
      <w:r>
        <w:t>Regul</w:t>
      </w:r>
      <w:r w:rsidR="00192E73">
        <w:t xml:space="preserve">ar salaries paid on July </w:t>
      </w:r>
      <w:r w:rsidR="007377BC">
        <w:t>5</w:t>
      </w:r>
      <w:r w:rsidR="00192E73">
        <w:t xml:space="preserve">, </w:t>
      </w:r>
      <w:r w:rsidR="00276329">
        <w:t>2023</w:t>
      </w:r>
      <w:r>
        <w:t xml:space="preserve"> for </w:t>
      </w:r>
      <w:r>
        <w:rPr>
          <w:u w:val="single" w:color="000000"/>
        </w:rPr>
        <w:t>all</w:t>
      </w:r>
      <w:r>
        <w:t xml:space="preserve"> employees.</w:t>
      </w:r>
    </w:p>
    <w:p w14:paraId="617FB3FB" w14:textId="6136A4EB" w:rsidR="006A16F6" w:rsidRDefault="0054715B" w:rsidP="00611543">
      <w:pPr>
        <w:numPr>
          <w:ilvl w:val="0"/>
          <w:numId w:val="5"/>
        </w:numPr>
        <w:ind w:left="1080" w:hanging="360"/>
        <w:jc w:val="both"/>
      </w:pPr>
      <w:r>
        <w:t xml:space="preserve">Regular salaries paid </w:t>
      </w:r>
      <w:r w:rsidRPr="00DF7121">
        <w:t xml:space="preserve">on July </w:t>
      </w:r>
      <w:r w:rsidR="00613F5C" w:rsidRPr="00DF7121">
        <w:t>20</w:t>
      </w:r>
      <w:r w:rsidRPr="00DF7121">
        <w:t xml:space="preserve">, </w:t>
      </w:r>
      <w:r w:rsidR="00276329">
        <w:t>2023</w:t>
      </w:r>
      <w:r w:rsidR="007377BC">
        <w:t xml:space="preserve"> </w:t>
      </w:r>
      <w:r w:rsidRPr="00DF7121">
        <w:t>for “</w:t>
      </w:r>
      <w:r>
        <w:rPr>
          <w:u w:val="single" w:color="000000"/>
        </w:rPr>
        <w:t>after-the-fact</w:t>
      </w:r>
      <w:r>
        <w:t>” employees.</w:t>
      </w:r>
    </w:p>
    <w:p w14:paraId="7B288104" w14:textId="70BF0A37" w:rsidR="006A16F6" w:rsidRDefault="0054715B" w:rsidP="007A27FC">
      <w:pPr>
        <w:ind w:left="1080" w:firstLine="0"/>
        <w:jc w:val="both"/>
      </w:pPr>
      <w:r>
        <w:t>“After-the-fact” are salaried employees hired after June 30, 1998 not belonging to bargaining units 5 and 7 as well as temporary and part-time employees.</w:t>
      </w:r>
    </w:p>
    <w:p w14:paraId="5BEA78AD" w14:textId="7364389C" w:rsidR="006A16F6" w:rsidRDefault="0054715B" w:rsidP="00611543">
      <w:pPr>
        <w:numPr>
          <w:ilvl w:val="0"/>
          <w:numId w:val="5"/>
        </w:numPr>
        <w:ind w:left="1080" w:hanging="360"/>
        <w:jc w:val="both"/>
      </w:pPr>
      <w:r>
        <w:t>Overtime and other types for pay periods ending on/prior to June 30,</w:t>
      </w:r>
      <w:r w:rsidR="00276329">
        <w:t>2023</w:t>
      </w:r>
      <w:r>
        <w:t xml:space="preserve"> but paid after June 30, </w:t>
      </w:r>
      <w:r w:rsidR="00276329">
        <w:t>2023</w:t>
      </w:r>
      <w:r>
        <w:t>.</w:t>
      </w:r>
    </w:p>
    <w:p w14:paraId="4D24795C" w14:textId="1DFA13DC" w:rsidR="006A16F6" w:rsidRDefault="006A16F6" w:rsidP="00611543">
      <w:pPr>
        <w:spacing w:after="0" w:line="259" w:lineRule="auto"/>
        <w:jc w:val="both"/>
      </w:pPr>
    </w:p>
    <w:p w14:paraId="0B50A993" w14:textId="5414004B" w:rsidR="006A16F6" w:rsidRDefault="0054715B" w:rsidP="00201EA5">
      <w:pPr>
        <w:ind w:left="715"/>
        <w:jc w:val="both"/>
      </w:pPr>
      <w:r>
        <w:t>Do not include imposition of Specia</w:t>
      </w:r>
      <w:r w:rsidR="00E450BE">
        <w:t>l Fund “fringe benefits” (</w:t>
      </w:r>
      <w:r w:rsidR="001C057A">
        <w:t>e.g.,</w:t>
      </w:r>
      <w:r w:rsidR="00E450BE">
        <w:t xml:space="preserve"> 50.</w:t>
      </w:r>
      <w:r w:rsidR="00DE2F81">
        <w:t>98</w:t>
      </w:r>
      <w:r>
        <w:t>%).</w:t>
      </w:r>
    </w:p>
    <w:p w14:paraId="30861624" w14:textId="1DD89D44" w:rsidR="006A16F6" w:rsidRDefault="006A16F6" w:rsidP="00611543">
      <w:pPr>
        <w:spacing w:after="0" w:line="259" w:lineRule="auto"/>
        <w:jc w:val="both"/>
      </w:pPr>
    </w:p>
    <w:p w14:paraId="230C1D39" w14:textId="521510E9" w:rsidR="006A16F6" w:rsidRDefault="0054715B" w:rsidP="00201EA5">
      <w:pPr>
        <w:ind w:left="715"/>
        <w:jc w:val="both"/>
      </w:pPr>
      <w:r>
        <w:t>Details supporting the information being submitted should be maintained by the departments and be made available to the auditors if requested.</w:t>
      </w:r>
    </w:p>
    <w:p w14:paraId="22C9EBC0" w14:textId="0D368C78" w:rsidR="006A16F6" w:rsidRDefault="006A16F6" w:rsidP="007A27FC">
      <w:pPr>
        <w:spacing w:after="0" w:line="259" w:lineRule="auto"/>
        <w:jc w:val="both"/>
      </w:pPr>
    </w:p>
    <w:p w14:paraId="3765E8A3" w14:textId="6BE3E8BC" w:rsidR="006A16F6" w:rsidRPr="007A27FC" w:rsidRDefault="0054715B" w:rsidP="00D13DE3">
      <w:pPr>
        <w:pStyle w:val="Heading1"/>
        <w:tabs>
          <w:tab w:val="left" w:pos="720"/>
        </w:tabs>
        <w:ind w:left="720" w:hanging="450"/>
        <w:jc w:val="both"/>
        <w:rPr>
          <w:b w:val="0"/>
          <w:u w:val="none"/>
        </w:rPr>
      </w:pPr>
      <w:r>
        <w:rPr>
          <w:b w:val="0"/>
          <w:u w:val="none"/>
        </w:rPr>
        <w:t>7c.</w:t>
      </w:r>
      <w:r w:rsidR="007A27FC">
        <w:rPr>
          <w:b w:val="0"/>
          <w:u w:val="none"/>
        </w:rPr>
        <w:tab/>
      </w:r>
      <w:r>
        <w:t>Other Accrued Liabilities by Fund</w:t>
      </w:r>
    </w:p>
    <w:p w14:paraId="5B9A7E6B" w14:textId="21646C1C" w:rsidR="006A16F6" w:rsidRDefault="006A16F6" w:rsidP="007A27FC">
      <w:pPr>
        <w:spacing w:after="0" w:line="259" w:lineRule="auto"/>
        <w:jc w:val="both"/>
      </w:pPr>
    </w:p>
    <w:p w14:paraId="50F0BA78" w14:textId="646B117D" w:rsidR="006A16F6" w:rsidRDefault="0054715B" w:rsidP="00201EA5">
      <w:pPr>
        <w:tabs>
          <w:tab w:val="center" w:pos="360"/>
          <w:tab w:val="center" w:pos="2432"/>
        </w:tabs>
        <w:ind w:left="0" w:firstLine="0"/>
        <w:jc w:val="both"/>
      </w:pPr>
      <w:r>
        <w:rPr>
          <w:rFonts w:ascii="Calibri" w:eastAsia="Calibri" w:hAnsi="Calibri" w:cs="Calibri"/>
        </w:rPr>
        <w:tab/>
      </w:r>
      <w:r>
        <w:rPr>
          <w:b/>
        </w:rPr>
        <w:tab/>
      </w:r>
      <w:r>
        <w:rPr>
          <w:u w:val="single" w:color="000000"/>
        </w:rPr>
        <w:t>Type of Liability</w:t>
      </w:r>
      <w:r>
        <w:t xml:space="preserve"> – Self-explanatory.</w:t>
      </w:r>
    </w:p>
    <w:p w14:paraId="3E2E6124" w14:textId="7A8AD547" w:rsidR="006A16F6" w:rsidRDefault="006A16F6" w:rsidP="007A27FC">
      <w:pPr>
        <w:spacing w:after="0" w:line="259" w:lineRule="auto"/>
        <w:jc w:val="both"/>
      </w:pPr>
    </w:p>
    <w:p w14:paraId="145169DD" w14:textId="15CD615B" w:rsidR="006A16F6" w:rsidRDefault="0054715B" w:rsidP="00201EA5">
      <w:pPr>
        <w:tabs>
          <w:tab w:val="center" w:pos="360"/>
          <w:tab w:val="center" w:pos="3361"/>
        </w:tabs>
        <w:ind w:left="0" w:firstLine="0"/>
        <w:jc w:val="both"/>
      </w:pPr>
      <w:r>
        <w:rPr>
          <w:rFonts w:ascii="Calibri" w:eastAsia="Calibri" w:hAnsi="Calibri" w:cs="Calibri"/>
        </w:rPr>
        <w:tab/>
      </w:r>
      <w:r>
        <w:tab/>
      </w:r>
      <w:r>
        <w:rPr>
          <w:u w:val="single" w:color="000000"/>
        </w:rPr>
        <w:t xml:space="preserve">Description </w:t>
      </w:r>
      <w:r>
        <w:t>– Provide a brief description of the liability.</w:t>
      </w:r>
    </w:p>
    <w:p w14:paraId="1256F737" w14:textId="031C9A5B" w:rsidR="006A16F6" w:rsidRDefault="006A16F6" w:rsidP="007A27FC">
      <w:pPr>
        <w:spacing w:after="0" w:line="259" w:lineRule="auto"/>
        <w:jc w:val="both"/>
      </w:pPr>
    </w:p>
    <w:p w14:paraId="2D56A7BD" w14:textId="736432A1" w:rsidR="006A16F6" w:rsidRDefault="0054715B" w:rsidP="00201EA5">
      <w:pPr>
        <w:tabs>
          <w:tab w:val="center" w:pos="360"/>
          <w:tab w:val="center" w:pos="3833"/>
        </w:tabs>
        <w:ind w:left="0" w:firstLine="0"/>
        <w:jc w:val="both"/>
      </w:pPr>
      <w:r>
        <w:rPr>
          <w:rFonts w:ascii="Calibri" w:eastAsia="Calibri" w:hAnsi="Calibri" w:cs="Calibri"/>
        </w:rPr>
        <w:tab/>
      </w:r>
      <w:r>
        <w:tab/>
      </w:r>
      <w:r w:rsidR="007377BC">
        <w:t xml:space="preserve">     </w:t>
      </w:r>
      <w:r>
        <w:rPr>
          <w:u w:val="single" w:color="000000"/>
        </w:rPr>
        <w:t>Amount</w:t>
      </w:r>
      <w:r>
        <w:t xml:space="preserve"> – Provide amount that should be accrued as of </w:t>
      </w:r>
      <w:r w:rsidR="007A27FC">
        <w:t>0</w:t>
      </w:r>
      <w:r w:rsidRPr="00DF7121">
        <w:t>6/30/</w:t>
      </w:r>
      <w:r w:rsidR="00276329">
        <w:t>2023</w:t>
      </w:r>
    </w:p>
    <w:p w14:paraId="706DBE52" w14:textId="1646C74B" w:rsidR="006A16F6" w:rsidRDefault="006A16F6" w:rsidP="007A27FC">
      <w:pPr>
        <w:spacing w:after="0" w:line="259" w:lineRule="auto"/>
        <w:jc w:val="both"/>
      </w:pPr>
    </w:p>
    <w:p w14:paraId="3D2B46A0" w14:textId="641B3961" w:rsidR="006A16F6" w:rsidRPr="007A27FC" w:rsidRDefault="007A27FC" w:rsidP="007A27FC">
      <w:pPr>
        <w:pStyle w:val="Heading1"/>
        <w:tabs>
          <w:tab w:val="left" w:pos="720"/>
        </w:tabs>
        <w:ind w:left="720" w:hanging="375"/>
        <w:jc w:val="both"/>
        <w:rPr>
          <w:b w:val="0"/>
          <w:u w:val="none"/>
        </w:rPr>
      </w:pPr>
      <w:r>
        <w:rPr>
          <w:b w:val="0"/>
          <w:u w:val="none"/>
        </w:rPr>
        <w:t>8.</w:t>
      </w:r>
      <w:r>
        <w:rPr>
          <w:b w:val="0"/>
          <w:u w:val="none"/>
        </w:rPr>
        <w:tab/>
      </w:r>
      <w:r w:rsidR="0054715B">
        <w:t>Revenue Bonds Payable</w:t>
      </w:r>
    </w:p>
    <w:p w14:paraId="40414543" w14:textId="03751875" w:rsidR="006A16F6" w:rsidRDefault="006A16F6" w:rsidP="007A27FC">
      <w:pPr>
        <w:spacing w:after="0" w:line="259" w:lineRule="auto"/>
        <w:jc w:val="both"/>
      </w:pPr>
    </w:p>
    <w:p w14:paraId="230AECB7" w14:textId="121F77BE" w:rsidR="006A16F6" w:rsidRDefault="0054715B" w:rsidP="00201EA5">
      <w:pPr>
        <w:ind w:left="720" w:hanging="360"/>
        <w:jc w:val="both"/>
      </w:pPr>
      <w:r>
        <w:tab/>
        <w:t xml:space="preserve">Include Revenue Bonds Payable as </w:t>
      </w:r>
      <w:r w:rsidRPr="00DF7121">
        <w:t>of June 30</w:t>
      </w:r>
      <w:r w:rsidR="009D5390">
        <w:t xml:space="preserve">, </w:t>
      </w:r>
      <w:r w:rsidR="00276329">
        <w:t>2023</w:t>
      </w:r>
      <w:r w:rsidR="009D5390">
        <w:t xml:space="preserve"> </w:t>
      </w:r>
      <w:r w:rsidRPr="00DF7121">
        <w:t>a</w:t>
      </w:r>
      <w:r>
        <w:t xml:space="preserve">nd debt service requirements for principal and interest for Fiscal </w:t>
      </w:r>
      <w:r w:rsidRPr="00DF7121">
        <w:t>Years 20</w:t>
      </w:r>
      <w:r w:rsidR="006E460C" w:rsidRPr="00DF7121">
        <w:t>2</w:t>
      </w:r>
      <w:r w:rsidR="001F2CD9">
        <w:t>4</w:t>
      </w:r>
      <w:r w:rsidRPr="00DF7121">
        <w:t xml:space="preserve"> – 202</w:t>
      </w:r>
      <w:r w:rsidR="001F2CD9">
        <w:t>8</w:t>
      </w:r>
      <w:r w:rsidR="007377BC">
        <w:t xml:space="preserve"> </w:t>
      </w:r>
      <w:r w:rsidRPr="00DF7121">
        <w:t>and</w:t>
      </w:r>
      <w:r>
        <w:t xml:space="preserve"> in five</w:t>
      </w:r>
      <w:r w:rsidR="00E450BE">
        <w:t>-</w:t>
      </w:r>
      <w:r>
        <w:t>year increments thereafter.</w:t>
      </w:r>
    </w:p>
    <w:p w14:paraId="5C417E80" w14:textId="579EE378" w:rsidR="00B238AC" w:rsidRDefault="00B238AC" w:rsidP="00201EA5">
      <w:pPr>
        <w:ind w:left="720" w:hanging="360"/>
        <w:jc w:val="both"/>
      </w:pPr>
    </w:p>
    <w:p w14:paraId="05894CD0" w14:textId="02C6E1DD" w:rsidR="00B238AC" w:rsidRDefault="00B238AC" w:rsidP="00B238AC">
      <w:pPr>
        <w:tabs>
          <w:tab w:val="left" w:pos="720"/>
        </w:tabs>
        <w:ind w:left="720" w:hanging="360"/>
        <w:jc w:val="both"/>
      </w:pPr>
      <w:r>
        <w:t xml:space="preserve">9. </w:t>
      </w:r>
      <w:r w:rsidRPr="00B238AC">
        <w:rPr>
          <w:b/>
          <w:bCs/>
          <w:u w:val="single"/>
        </w:rPr>
        <w:t>Financed Purchases</w:t>
      </w:r>
      <w:r>
        <w:t xml:space="preserve"> (Prior to GASB 87 implementation, it was called “Future Minimum Lease Commitments for Capital Leases)</w:t>
      </w:r>
    </w:p>
    <w:p w14:paraId="22D37D9B" w14:textId="26865E22" w:rsidR="00B238AC" w:rsidRDefault="00B238AC" w:rsidP="00201EA5">
      <w:pPr>
        <w:ind w:left="720" w:hanging="360"/>
        <w:jc w:val="both"/>
      </w:pPr>
    </w:p>
    <w:p w14:paraId="0BD5F906" w14:textId="6BE10AD6" w:rsidR="00B238AC" w:rsidRDefault="00B238AC" w:rsidP="00B238AC">
      <w:pPr>
        <w:ind w:left="720" w:firstLine="0"/>
        <w:jc w:val="both"/>
      </w:pPr>
      <w:r>
        <w:lastRenderedPageBreak/>
        <w:t>Include future minimum commitments for capital financed purchases including Certificates of Participation and Equipment Financing Agreements for Fiscal Years 2024 – 2028 and in five-year increments thereafter</w:t>
      </w:r>
    </w:p>
    <w:p w14:paraId="7527E5FE" w14:textId="36535C34" w:rsidR="006A16F6" w:rsidRDefault="006A16F6" w:rsidP="00D13DE3">
      <w:pPr>
        <w:spacing w:after="0" w:line="259" w:lineRule="auto"/>
        <w:jc w:val="both"/>
      </w:pPr>
    </w:p>
    <w:p w14:paraId="3C7FAD03" w14:textId="7EF757BB" w:rsidR="006A16F6" w:rsidRPr="007A27FC" w:rsidRDefault="00B238AC" w:rsidP="00D13DE3">
      <w:pPr>
        <w:pStyle w:val="Heading1"/>
        <w:tabs>
          <w:tab w:val="left" w:pos="720"/>
        </w:tabs>
        <w:ind w:left="720" w:hanging="450"/>
        <w:jc w:val="both"/>
        <w:rPr>
          <w:b w:val="0"/>
          <w:u w:val="none"/>
        </w:rPr>
      </w:pPr>
      <w:r>
        <w:rPr>
          <w:b w:val="0"/>
          <w:u w:val="none"/>
        </w:rPr>
        <w:t>10</w:t>
      </w:r>
      <w:r w:rsidR="0054715B">
        <w:rPr>
          <w:b w:val="0"/>
          <w:u w:val="none"/>
        </w:rPr>
        <w:t>.</w:t>
      </w:r>
      <w:r w:rsidR="007A27FC">
        <w:rPr>
          <w:b w:val="0"/>
          <w:u w:val="none"/>
        </w:rPr>
        <w:tab/>
      </w:r>
      <w:r w:rsidR="0054715B">
        <w:t>Service Concession Arrangements</w:t>
      </w:r>
    </w:p>
    <w:p w14:paraId="091D319F" w14:textId="76796752" w:rsidR="006A16F6" w:rsidRDefault="006A16F6" w:rsidP="007A27FC">
      <w:pPr>
        <w:spacing w:after="0" w:line="259" w:lineRule="auto"/>
        <w:jc w:val="both"/>
      </w:pPr>
    </w:p>
    <w:p w14:paraId="400558F5" w14:textId="30174E2B" w:rsidR="006A16F6" w:rsidRDefault="0054715B" w:rsidP="00201EA5">
      <w:pPr>
        <w:ind w:left="720" w:hanging="720"/>
        <w:jc w:val="both"/>
      </w:pPr>
      <w:r>
        <w:tab/>
        <w:t xml:space="preserve">GASB No. 60 defines Service Concession Arrangements between a transferor (government) and an operator (government or non-government) in which </w:t>
      </w:r>
      <w:r>
        <w:rPr>
          <w:u w:val="single" w:color="000000"/>
        </w:rPr>
        <w:t>all</w:t>
      </w:r>
      <w:r>
        <w:t xml:space="preserve"> the following criteria are met:</w:t>
      </w:r>
    </w:p>
    <w:p w14:paraId="283291B0" w14:textId="091E8A50" w:rsidR="006A16F6" w:rsidRDefault="006A16F6" w:rsidP="00201EA5">
      <w:pPr>
        <w:spacing w:after="0" w:line="259" w:lineRule="auto"/>
        <w:ind w:left="0" w:firstLine="0"/>
        <w:jc w:val="both"/>
      </w:pPr>
    </w:p>
    <w:p w14:paraId="370BC8E2" w14:textId="73ACC57F" w:rsidR="006A16F6" w:rsidRDefault="0054715B" w:rsidP="00201EA5">
      <w:pPr>
        <w:numPr>
          <w:ilvl w:val="0"/>
          <w:numId w:val="6"/>
        </w:numPr>
        <w:ind w:hanging="360"/>
        <w:jc w:val="both"/>
      </w:pPr>
      <w:r>
        <w:t>The transferor conveys to the operator, the right and related obligation to provide public services through the use and operation of a capital asset in exchange for significant considerations.</w:t>
      </w:r>
    </w:p>
    <w:p w14:paraId="5A264591" w14:textId="492B845E" w:rsidR="006A16F6" w:rsidRDefault="0054715B" w:rsidP="00201EA5">
      <w:pPr>
        <w:numPr>
          <w:ilvl w:val="0"/>
          <w:numId w:val="6"/>
        </w:numPr>
        <w:ind w:hanging="360"/>
        <w:jc w:val="both"/>
      </w:pPr>
      <w:r>
        <w:t>The operator collects and is compensated by fees from a third party.</w:t>
      </w:r>
    </w:p>
    <w:p w14:paraId="09479FC0" w14:textId="130FC441" w:rsidR="006A16F6" w:rsidRDefault="0054715B" w:rsidP="00201EA5">
      <w:pPr>
        <w:numPr>
          <w:ilvl w:val="0"/>
          <w:numId w:val="6"/>
        </w:numPr>
        <w:ind w:hanging="360"/>
        <w:jc w:val="both"/>
      </w:pPr>
      <w:r>
        <w:t>The transferor determines or has the ability to modify and approve what services the operator is required to provide, to whom the services are provided, and the price rates that can be charged for the services.</w:t>
      </w:r>
    </w:p>
    <w:p w14:paraId="1BC83496" w14:textId="5EE8A503" w:rsidR="006A16F6" w:rsidRDefault="0054715B" w:rsidP="00201EA5">
      <w:pPr>
        <w:numPr>
          <w:ilvl w:val="0"/>
          <w:numId w:val="6"/>
        </w:numPr>
        <w:ind w:hanging="360"/>
        <w:jc w:val="both"/>
      </w:pPr>
      <w:r>
        <w:t>The transferor is entitled to significant residual interest in the service utility of the facility at the end of the arrangement.</w:t>
      </w:r>
    </w:p>
    <w:p w14:paraId="6A961BEE" w14:textId="1E0F5529" w:rsidR="006A16F6" w:rsidRDefault="006A16F6" w:rsidP="007A27FC">
      <w:pPr>
        <w:spacing w:after="0" w:line="259" w:lineRule="auto"/>
        <w:jc w:val="both"/>
      </w:pPr>
    </w:p>
    <w:p w14:paraId="1BBA7791" w14:textId="4D42BD0B" w:rsidR="006A16F6" w:rsidRDefault="0054715B" w:rsidP="00201EA5">
      <w:pPr>
        <w:ind w:left="715"/>
        <w:jc w:val="both"/>
      </w:pPr>
      <w:r>
        <w:rPr>
          <w:u w:val="single" w:color="000000"/>
        </w:rPr>
        <w:t>Transferor</w:t>
      </w:r>
      <w:r>
        <w:t xml:space="preserve"> – Government entity that conveys right and related obligation to the operator.</w:t>
      </w:r>
    </w:p>
    <w:p w14:paraId="5B89C40D" w14:textId="145B1CD9" w:rsidR="006A16F6" w:rsidRDefault="006A16F6" w:rsidP="00201EA5">
      <w:pPr>
        <w:spacing w:after="0" w:line="259" w:lineRule="auto"/>
        <w:ind w:left="0" w:firstLine="0"/>
        <w:jc w:val="both"/>
      </w:pPr>
    </w:p>
    <w:p w14:paraId="4F330069" w14:textId="64145A7C" w:rsidR="006A16F6" w:rsidRDefault="0054715B" w:rsidP="00201EA5">
      <w:pPr>
        <w:ind w:left="720" w:hanging="720"/>
        <w:jc w:val="both"/>
      </w:pPr>
      <w:r>
        <w:tab/>
      </w:r>
      <w:r>
        <w:rPr>
          <w:u w:val="single" w:color="000000"/>
        </w:rPr>
        <w:t>Operator</w:t>
      </w:r>
      <w:r>
        <w:t xml:space="preserve"> – Government or non-government entity that collects and is compensated by fees from a third party.</w:t>
      </w:r>
    </w:p>
    <w:p w14:paraId="72A3A63D" w14:textId="7BE04140" w:rsidR="006A16F6" w:rsidRDefault="006A16F6" w:rsidP="00201EA5">
      <w:pPr>
        <w:spacing w:after="0" w:line="259" w:lineRule="auto"/>
        <w:ind w:left="0" w:firstLine="0"/>
        <w:jc w:val="both"/>
      </w:pPr>
    </w:p>
    <w:p w14:paraId="0B2D7A29" w14:textId="2045A706" w:rsidR="006A16F6" w:rsidRDefault="0054715B" w:rsidP="00201EA5">
      <w:pPr>
        <w:tabs>
          <w:tab w:val="center" w:pos="2688"/>
        </w:tabs>
        <w:ind w:left="-15" w:firstLine="0"/>
        <w:jc w:val="both"/>
      </w:pPr>
      <w:r>
        <w:tab/>
      </w:r>
      <w:r>
        <w:rPr>
          <w:u w:val="single" w:color="000000"/>
        </w:rPr>
        <w:t>Capital Asset/Facility</w:t>
      </w:r>
      <w:r>
        <w:t xml:space="preserve"> – Self-explanatory.</w:t>
      </w:r>
    </w:p>
    <w:p w14:paraId="6AB41E14" w14:textId="2B254F5F" w:rsidR="006A16F6" w:rsidRDefault="006A16F6" w:rsidP="00201EA5">
      <w:pPr>
        <w:spacing w:after="0" w:line="259" w:lineRule="auto"/>
        <w:ind w:left="0" w:firstLine="0"/>
        <w:jc w:val="both"/>
      </w:pPr>
    </w:p>
    <w:p w14:paraId="73571E64" w14:textId="3539419F" w:rsidR="006A16F6" w:rsidRDefault="0054715B" w:rsidP="00D13DE3">
      <w:pPr>
        <w:ind w:left="720" w:hanging="720"/>
        <w:jc w:val="both"/>
      </w:pPr>
      <w:r>
        <w:tab/>
      </w:r>
      <w:r>
        <w:rPr>
          <w:u w:val="single" w:color="000000"/>
        </w:rPr>
        <w:t>Description of Arrangement</w:t>
      </w:r>
      <w:r>
        <w:t xml:space="preserve"> – Provide a brief description of the arrangement.  DAGS and/or the auditors may contact you for further details.</w:t>
      </w:r>
    </w:p>
    <w:sectPr w:rsidR="006A16F6">
      <w:headerReference w:type="even" r:id="rId9"/>
      <w:headerReference w:type="default" r:id="rId10"/>
      <w:headerReference w:type="first" r:id="rId11"/>
      <w:pgSz w:w="12240" w:h="15840"/>
      <w:pgMar w:top="1274" w:right="1729" w:bottom="1072" w:left="172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CE193" w14:textId="77777777" w:rsidR="003E43B3" w:rsidRDefault="0054715B">
      <w:pPr>
        <w:spacing w:after="0" w:line="240" w:lineRule="auto"/>
      </w:pPr>
      <w:r>
        <w:separator/>
      </w:r>
    </w:p>
  </w:endnote>
  <w:endnote w:type="continuationSeparator" w:id="0">
    <w:p w14:paraId="57EC59CA" w14:textId="77777777" w:rsidR="003E43B3" w:rsidRDefault="00547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B9B86" w14:textId="77777777" w:rsidR="003E43B3" w:rsidRDefault="0054715B">
      <w:pPr>
        <w:spacing w:after="0" w:line="240" w:lineRule="auto"/>
      </w:pPr>
      <w:r>
        <w:separator/>
      </w:r>
    </w:p>
  </w:footnote>
  <w:footnote w:type="continuationSeparator" w:id="0">
    <w:p w14:paraId="26409E37" w14:textId="77777777" w:rsidR="003E43B3" w:rsidRDefault="00547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91FFE" w14:textId="77777777" w:rsidR="006A16F6" w:rsidRDefault="0054715B">
    <w:pPr>
      <w:spacing w:after="0" w:line="259" w:lineRule="auto"/>
      <w:ind w:left="0" w:firstLine="0"/>
    </w:pPr>
    <w:r>
      <w:rPr>
        <w:sz w:val="24"/>
      </w:rPr>
      <w:t xml:space="preserve">CAFR Instructions FY 2017 </w:t>
    </w:r>
  </w:p>
  <w:p w14:paraId="6C3D204C" w14:textId="77777777" w:rsidR="006A16F6" w:rsidRDefault="0054715B">
    <w:pPr>
      <w:spacing w:after="0" w:line="259" w:lineRule="auto"/>
      <w:ind w:left="0" w:firstLine="0"/>
    </w:pPr>
    <w:r>
      <w:rPr>
        <w:sz w:val="24"/>
      </w:rPr>
      <w:t xml:space="preserve">Page </w:t>
    </w:r>
    <w:r>
      <w:fldChar w:fldCharType="begin"/>
    </w:r>
    <w:r>
      <w:instrText xml:space="preserve"> PAGE   \* MERGEFORMAT </w:instrText>
    </w:r>
    <w:r>
      <w:fldChar w:fldCharType="separate"/>
    </w:r>
    <w:r>
      <w:rPr>
        <w:sz w:val="24"/>
      </w:rPr>
      <w:t>2</w:t>
    </w:r>
    <w:r>
      <w:rPr>
        <w:sz w:val="24"/>
      </w:rPr>
      <w:fldChar w:fldCharType="end"/>
    </w:r>
    <w:r>
      <w:rPr>
        <w:sz w:val="24"/>
      </w:rPr>
      <w:t xml:space="preserve"> </w:t>
    </w:r>
  </w:p>
  <w:p w14:paraId="000CF953" w14:textId="77777777" w:rsidR="006A16F6" w:rsidRDefault="0054715B">
    <w:pPr>
      <w:spacing w:after="0" w:line="259" w:lineRule="auto"/>
      <w:ind w:left="0" w:firstLine="0"/>
    </w:pPr>
    <w:r>
      <w:rPr>
        <w:sz w:val="24"/>
      </w:rPr>
      <w:t xml:space="preserve"> </w:t>
    </w:r>
  </w:p>
  <w:p w14:paraId="0CC5A66B" w14:textId="77777777" w:rsidR="006A16F6" w:rsidRDefault="0054715B">
    <w:pPr>
      <w:spacing w:after="0" w:line="259" w:lineRule="auto"/>
      <w:ind w:left="0" w:firstLine="0"/>
    </w:pP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E0028" w14:textId="77777777" w:rsidR="00DE2F81" w:rsidRDefault="00DE2F81">
    <w:pPr>
      <w:spacing w:after="0" w:line="259" w:lineRule="auto"/>
      <w:ind w:left="0" w:firstLine="0"/>
    </w:pPr>
  </w:p>
  <w:p w14:paraId="1620F941" w14:textId="77777777" w:rsidR="00DE2F81" w:rsidRDefault="00DE2F81">
    <w:pPr>
      <w:spacing w:after="0" w:line="259" w:lineRule="auto"/>
      <w:ind w:left="0" w:firstLine="0"/>
    </w:pPr>
  </w:p>
  <w:p w14:paraId="066369D3" w14:textId="13E74F7C" w:rsidR="006A16F6" w:rsidRPr="00C949F3" w:rsidRDefault="00DE2F81">
    <w:pPr>
      <w:spacing w:after="0" w:line="259" w:lineRule="auto"/>
      <w:ind w:left="0" w:firstLine="0"/>
    </w:pPr>
    <w:r>
      <w:t>A</w:t>
    </w:r>
    <w:r w:rsidR="0054715B" w:rsidRPr="00C949F3">
      <w:t xml:space="preserve">CFR Instructions FY </w:t>
    </w:r>
    <w:r w:rsidR="00276329">
      <w:t>2023</w:t>
    </w:r>
  </w:p>
  <w:p w14:paraId="2EDF847C" w14:textId="6C5B3D06" w:rsidR="006A16F6" w:rsidRPr="00C949F3" w:rsidRDefault="0054715B">
    <w:pPr>
      <w:spacing w:after="0" w:line="259" w:lineRule="auto"/>
      <w:ind w:left="0" w:firstLine="0"/>
    </w:pPr>
    <w:r w:rsidRPr="00C949F3">
      <w:t xml:space="preserve">Page </w:t>
    </w:r>
    <w:r w:rsidRPr="00C949F3">
      <w:fldChar w:fldCharType="begin"/>
    </w:r>
    <w:r w:rsidRPr="00C949F3">
      <w:instrText xml:space="preserve"> PAGE   \* MERGEFORMAT </w:instrText>
    </w:r>
    <w:r w:rsidRPr="00C949F3">
      <w:fldChar w:fldCharType="separate"/>
    </w:r>
    <w:r w:rsidR="002B27F6" w:rsidRPr="00C949F3">
      <w:rPr>
        <w:noProof/>
      </w:rPr>
      <w:t>4</w:t>
    </w:r>
    <w:r w:rsidRPr="00C949F3">
      <w:fldChar w:fldCharType="end"/>
    </w:r>
  </w:p>
  <w:p w14:paraId="4FEA5F9B" w14:textId="4345465D" w:rsidR="006A16F6" w:rsidRDefault="006A16F6">
    <w:pPr>
      <w:spacing w:after="0" w:line="259" w:lineRule="auto"/>
      <w:ind w:left="0" w:firstLine="0"/>
    </w:pPr>
  </w:p>
  <w:p w14:paraId="6D62ADC6" w14:textId="53A92B8F" w:rsidR="006A16F6" w:rsidRDefault="006A16F6">
    <w:pPr>
      <w:spacing w:after="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F32B1" w14:textId="77777777" w:rsidR="006A16F6" w:rsidRDefault="006A16F6">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15026"/>
    <w:multiLevelType w:val="hybridMultilevel"/>
    <w:tmpl w:val="F07EB40A"/>
    <w:lvl w:ilvl="0" w:tplc="8CD68346">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D0F610">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FACBC7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F6FA9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BA749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5CFFD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BA79E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AEE9D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0C4B7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3A5F67"/>
    <w:multiLevelType w:val="hybridMultilevel"/>
    <w:tmpl w:val="74F8CE02"/>
    <w:lvl w:ilvl="0" w:tplc="B5725F0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14C41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1E186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22423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FE1AA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B860E9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D21B5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8C929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08571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BFF1D58"/>
    <w:multiLevelType w:val="hybridMultilevel"/>
    <w:tmpl w:val="00EE132C"/>
    <w:lvl w:ilvl="0" w:tplc="F642ECFE">
      <w:start w:val="1"/>
      <w:numFmt w:val="decimal"/>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2A3B7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98EF6A">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B0FA36">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668E1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6838A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C434F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06F9F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B6350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E627C07"/>
    <w:multiLevelType w:val="hybridMultilevel"/>
    <w:tmpl w:val="F49E0C2A"/>
    <w:lvl w:ilvl="0" w:tplc="F528A4F8">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EEBEE0">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CA271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6C72BE">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BC64D8">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5E35B2">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5851F6">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E8640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1E633C">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69457F1"/>
    <w:multiLevelType w:val="hybridMultilevel"/>
    <w:tmpl w:val="C5642182"/>
    <w:lvl w:ilvl="0" w:tplc="AFA4D812">
      <w:start w:val="1"/>
      <w:numFmt w:val="decimal"/>
      <w:lvlText w:val="%1."/>
      <w:lvlJc w:val="left"/>
      <w:pPr>
        <w:ind w:left="705" w:hanging="360"/>
      </w:pPr>
      <w:rPr>
        <w:rFonts w:hint="default"/>
        <w:b w:val="0"/>
        <w:u w:val="none"/>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15:restartNumberingAfterBreak="0">
    <w:nsid w:val="66884346"/>
    <w:multiLevelType w:val="hybridMultilevel"/>
    <w:tmpl w:val="3DF0A2F4"/>
    <w:lvl w:ilvl="0" w:tplc="FDCE5A2C">
      <w:start w:val="1"/>
      <w:numFmt w:val="decimal"/>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0A0AF4">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DD2DCF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C29086">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2CA7A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356746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28B8D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7804B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26EA08">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5E068EA"/>
    <w:multiLevelType w:val="hybridMultilevel"/>
    <w:tmpl w:val="6582B774"/>
    <w:lvl w:ilvl="0" w:tplc="843ED494">
      <w:start w:val="1"/>
      <w:numFmt w:val="decimal"/>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E2FEF8">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DEF3B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A00BE0E">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EA3EC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8ADA7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B2C79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343F8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889F1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6F6"/>
    <w:rsid w:val="00024BC6"/>
    <w:rsid w:val="000A2FDF"/>
    <w:rsid w:val="000B6236"/>
    <w:rsid w:val="000E79CF"/>
    <w:rsid w:val="00103556"/>
    <w:rsid w:val="001049FD"/>
    <w:rsid w:val="00124F12"/>
    <w:rsid w:val="0013078E"/>
    <w:rsid w:val="00134DBF"/>
    <w:rsid w:val="00137D9C"/>
    <w:rsid w:val="00144007"/>
    <w:rsid w:val="0014501C"/>
    <w:rsid w:val="00151B78"/>
    <w:rsid w:val="00181A69"/>
    <w:rsid w:val="00192E73"/>
    <w:rsid w:val="001A2E93"/>
    <w:rsid w:val="001C057A"/>
    <w:rsid w:val="001D072B"/>
    <w:rsid w:val="001F2CD9"/>
    <w:rsid w:val="00201EA5"/>
    <w:rsid w:val="0022017E"/>
    <w:rsid w:val="00276329"/>
    <w:rsid w:val="00285769"/>
    <w:rsid w:val="002A144A"/>
    <w:rsid w:val="002A36DB"/>
    <w:rsid w:val="002B27F6"/>
    <w:rsid w:val="002C1A1D"/>
    <w:rsid w:val="002C4597"/>
    <w:rsid w:val="002C60EB"/>
    <w:rsid w:val="0030159B"/>
    <w:rsid w:val="00327B5D"/>
    <w:rsid w:val="003465DA"/>
    <w:rsid w:val="00366153"/>
    <w:rsid w:val="00383665"/>
    <w:rsid w:val="003879DA"/>
    <w:rsid w:val="003A1DCF"/>
    <w:rsid w:val="003C1D1B"/>
    <w:rsid w:val="003E4108"/>
    <w:rsid w:val="003E43B3"/>
    <w:rsid w:val="0041169F"/>
    <w:rsid w:val="00422EC4"/>
    <w:rsid w:val="00441818"/>
    <w:rsid w:val="00450339"/>
    <w:rsid w:val="00467459"/>
    <w:rsid w:val="00490845"/>
    <w:rsid w:val="004A34EA"/>
    <w:rsid w:val="004C6DDB"/>
    <w:rsid w:val="004E203C"/>
    <w:rsid w:val="004E74D2"/>
    <w:rsid w:val="00502E8C"/>
    <w:rsid w:val="005206F0"/>
    <w:rsid w:val="0054715B"/>
    <w:rsid w:val="00552980"/>
    <w:rsid w:val="00586B0A"/>
    <w:rsid w:val="00611543"/>
    <w:rsid w:val="00613C6D"/>
    <w:rsid w:val="00613F5C"/>
    <w:rsid w:val="006A16F6"/>
    <w:rsid w:val="006A1B64"/>
    <w:rsid w:val="006A7A77"/>
    <w:rsid w:val="006E460C"/>
    <w:rsid w:val="0071658E"/>
    <w:rsid w:val="007377BC"/>
    <w:rsid w:val="00772181"/>
    <w:rsid w:val="00775406"/>
    <w:rsid w:val="00782858"/>
    <w:rsid w:val="007A27FC"/>
    <w:rsid w:val="007B4279"/>
    <w:rsid w:val="007C48DD"/>
    <w:rsid w:val="00805E7C"/>
    <w:rsid w:val="00835DE3"/>
    <w:rsid w:val="00842649"/>
    <w:rsid w:val="0087467B"/>
    <w:rsid w:val="008D4A08"/>
    <w:rsid w:val="008D4B21"/>
    <w:rsid w:val="008E0B4B"/>
    <w:rsid w:val="008E4DFB"/>
    <w:rsid w:val="0097724F"/>
    <w:rsid w:val="009C7C10"/>
    <w:rsid w:val="009D28EE"/>
    <w:rsid w:val="009D5390"/>
    <w:rsid w:val="009E675B"/>
    <w:rsid w:val="00A11391"/>
    <w:rsid w:val="00A15D5D"/>
    <w:rsid w:val="00A32C65"/>
    <w:rsid w:val="00A663ED"/>
    <w:rsid w:val="00A75C92"/>
    <w:rsid w:val="00A90760"/>
    <w:rsid w:val="00AE6BC6"/>
    <w:rsid w:val="00AF4B4E"/>
    <w:rsid w:val="00B238AC"/>
    <w:rsid w:val="00B266E5"/>
    <w:rsid w:val="00B61918"/>
    <w:rsid w:val="00BB3C4F"/>
    <w:rsid w:val="00BC1F5C"/>
    <w:rsid w:val="00BE38AE"/>
    <w:rsid w:val="00C26090"/>
    <w:rsid w:val="00C53290"/>
    <w:rsid w:val="00C756FB"/>
    <w:rsid w:val="00C770B1"/>
    <w:rsid w:val="00C85D80"/>
    <w:rsid w:val="00C949F3"/>
    <w:rsid w:val="00D13DE3"/>
    <w:rsid w:val="00D1417F"/>
    <w:rsid w:val="00D45E5B"/>
    <w:rsid w:val="00D532B2"/>
    <w:rsid w:val="00D56B63"/>
    <w:rsid w:val="00D73284"/>
    <w:rsid w:val="00DD1F85"/>
    <w:rsid w:val="00DD740B"/>
    <w:rsid w:val="00DE2F81"/>
    <w:rsid w:val="00DF1296"/>
    <w:rsid w:val="00DF7121"/>
    <w:rsid w:val="00E00FD9"/>
    <w:rsid w:val="00E41184"/>
    <w:rsid w:val="00E450BE"/>
    <w:rsid w:val="00E93D82"/>
    <w:rsid w:val="00EA0227"/>
    <w:rsid w:val="00EE65F4"/>
    <w:rsid w:val="00F251A5"/>
    <w:rsid w:val="00F66516"/>
    <w:rsid w:val="00FC61FA"/>
    <w:rsid w:val="00FC67C3"/>
    <w:rsid w:val="00FD51C4"/>
    <w:rsid w:val="00FF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9E160"/>
  <w15:docId w15:val="{12ED3D78-0D46-448C-8800-634163EAE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5" w:line="249" w:lineRule="auto"/>
      <w:ind w:left="10" w:hanging="10"/>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paragraph" w:styleId="Footer">
    <w:name w:val="footer"/>
    <w:basedOn w:val="Normal"/>
    <w:link w:val="FooterChar"/>
    <w:uiPriority w:val="99"/>
    <w:unhideWhenUsed/>
    <w:rsid w:val="00144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007"/>
    <w:rPr>
      <w:rFonts w:ascii="Arial" w:eastAsia="Arial" w:hAnsi="Arial" w:cs="Arial"/>
      <w:color w:val="000000"/>
    </w:rPr>
  </w:style>
  <w:style w:type="paragraph" w:styleId="BalloonText">
    <w:name w:val="Balloon Text"/>
    <w:basedOn w:val="Normal"/>
    <w:link w:val="BalloonTextChar"/>
    <w:uiPriority w:val="99"/>
    <w:semiHidden/>
    <w:unhideWhenUsed/>
    <w:rsid w:val="004503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339"/>
    <w:rPr>
      <w:rFonts w:ascii="Segoe UI" w:eastAsia="Arial" w:hAnsi="Segoe UI" w:cs="Segoe UI"/>
      <w:color w:val="000000"/>
      <w:sz w:val="18"/>
      <w:szCs w:val="18"/>
    </w:rPr>
  </w:style>
  <w:style w:type="character" w:styleId="Hyperlink">
    <w:name w:val="Hyperlink"/>
    <w:basedOn w:val="DefaultParagraphFont"/>
    <w:uiPriority w:val="99"/>
    <w:unhideWhenUsed/>
    <w:rsid w:val="00124F12"/>
    <w:rPr>
      <w:color w:val="0563C1" w:themeColor="hyperlink"/>
      <w:u w:val="single"/>
    </w:rPr>
  </w:style>
  <w:style w:type="character" w:customStyle="1" w:styleId="UnresolvedMention1">
    <w:name w:val="Unresolved Mention1"/>
    <w:basedOn w:val="DefaultParagraphFont"/>
    <w:uiPriority w:val="99"/>
    <w:semiHidden/>
    <w:unhideWhenUsed/>
    <w:rsid w:val="00124F12"/>
    <w:rPr>
      <w:color w:val="808080"/>
      <w:shd w:val="clear" w:color="auto" w:fill="E6E6E6"/>
    </w:rPr>
  </w:style>
  <w:style w:type="paragraph" w:styleId="ListParagraph">
    <w:name w:val="List Paragraph"/>
    <w:basedOn w:val="Normal"/>
    <w:uiPriority w:val="34"/>
    <w:qFormat/>
    <w:rsid w:val="00D56B63"/>
    <w:pPr>
      <w:ind w:left="720"/>
      <w:contextualSpacing/>
    </w:pPr>
  </w:style>
  <w:style w:type="character" w:styleId="CommentReference">
    <w:name w:val="annotation reference"/>
    <w:basedOn w:val="DefaultParagraphFont"/>
    <w:uiPriority w:val="99"/>
    <w:semiHidden/>
    <w:unhideWhenUsed/>
    <w:rsid w:val="001D072B"/>
    <w:rPr>
      <w:sz w:val="16"/>
      <w:szCs w:val="16"/>
    </w:rPr>
  </w:style>
  <w:style w:type="paragraph" w:styleId="CommentText">
    <w:name w:val="annotation text"/>
    <w:basedOn w:val="Normal"/>
    <w:link w:val="CommentTextChar"/>
    <w:uiPriority w:val="99"/>
    <w:semiHidden/>
    <w:unhideWhenUsed/>
    <w:rsid w:val="001D072B"/>
    <w:pPr>
      <w:spacing w:line="240" w:lineRule="auto"/>
    </w:pPr>
    <w:rPr>
      <w:sz w:val="20"/>
      <w:szCs w:val="20"/>
    </w:rPr>
  </w:style>
  <w:style w:type="character" w:customStyle="1" w:styleId="CommentTextChar">
    <w:name w:val="Comment Text Char"/>
    <w:basedOn w:val="DefaultParagraphFont"/>
    <w:link w:val="CommentText"/>
    <w:uiPriority w:val="99"/>
    <w:semiHidden/>
    <w:rsid w:val="001D072B"/>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1D072B"/>
    <w:rPr>
      <w:b/>
      <w:bCs/>
    </w:rPr>
  </w:style>
  <w:style w:type="character" w:customStyle="1" w:styleId="CommentSubjectChar">
    <w:name w:val="Comment Subject Char"/>
    <w:basedOn w:val="CommentTextChar"/>
    <w:link w:val="CommentSubject"/>
    <w:uiPriority w:val="99"/>
    <w:semiHidden/>
    <w:rsid w:val="001D072B"/>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enora.d.fisher@hawaii.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BFB69-34CC-4528-800D-CE384026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8</Pages>
  <Words>2055</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Microsoft Word - CAFR FY17 Financial Information Instructions for depts DRAFT.docx</vt:lpstr>
    </vt:vector>
  </TitlesOfParts>
  <Company/>
  <LinksUpToDate>false</LinksUpToDate>
  <CharactersWithSpaces>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CAFR FY17 Financial Information Instructions for depts DRAFT.docx</dc:title>
  <dc:subject/>
  <dc:creator>ahayamoto</dc:creator>
  <cp:keywords/>
  <cp:lastModifiedBy>Obedoza, Bobet-Uriel</cp:lastModifiedBy>
  <cp:revision>12</cp:revision>
  <cp:lastPrinted>2021-06-17T19:38:00Z</cp:lastPrinted>
  <dcterms:created xsi:type="dcterms:W3CDTF">2023-02-07T21:18:00Z</dcterms:created>
  <dcterms:modified xsi:type="dcterms:W3CDTF">2023-05-23T19:03:00Z</dcterms:modified>
</cp:coreProperties>
</file>