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0620CBD1" w14:textId="77777777" w:rsidR="00571369" w:rsidRDefault="00571369" w:rsidP="00EE0F97">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EE0F97">
            <w:pPr>
              <w:pStyle w:val="Default"/>
              <w:jc w:val="center"/>
              <w:rPr>
                <w:sz w:val="28"/>
                <w:szCs w:val="28"/>
              </w:rPr>
            </w:pPr>
            <w:r>
              <w:rPr>
                <w:b/>
                <w:bCs/>
                <w:sz w:val="28"/>
                <w:szCs w:val="28"/>
              </w:rPr>
              <w:t>Virtual Meeting – Microsoft Teams</w:t>
            </w:r>
          </w:p>
          <w:p w14:paraId="7C31A3B3" w14:textId="42E34FF4" w:rsidR="00571369" w:rsidRDefault="00571369" w:rsidP="00EE0F97">
            <w:pPr>
              <w:pStyle w:val="Default"/>
              <w:jc w:val="center"/>
              <w:rPr>
                <w:b/>
                <w:bCs/>
                <w:sz w:val="28"/>
                <w:szCs w:val="28"/>
              </w:rPr>
            </w:pPr>
            <w:r>
              <w:rPr>
                <w:b/>
                <w:bCs/>
                <w:sz w:val="28"/>
                <w:szCs w:val="28"/>
              </w:rPr>
              <w:t>Call-In: 808-829-4853; Phone Conf ID:</w:t>
            </w:r>
            <w:r w:rsidR="00B15AFE">
              <w:rPr>
                <w:b/>
                <w:bCs/>
                <w:sz w:val="28"/>
                <w:szCs w:val="28"/>
              </w:rPr>
              <w:t xml:space="preserve"> </w:t>
            </w:r>
            <w:r w:rsidR="00EA176F">
              <w:rPr>
                <w:b/>
                <w:bCs/>
                <w:sz w:val="28"/>
                <w:szCs w:val="28"/>
              </w:rPr>
              <w:t>702 951 512</w:t>
            </w:r>
            <w:r w:rsidR="00390FBD">
              <w:rPr>
                <w:b/>
                <w:bCs/>
                <w:sz w:val="28"/>
                <w:szCs w:val="28"/>
              </w:rPr>
              <w:t>#</w:t>
            </w:r>
          </w:p>
          <w:p w14:paraId="17620F1A" w14:textId="77777777" w:rsidR="00571369" w:rsidRDefault="00571369" w:rsidP="00EE0F97">
            <w:pPr>
              <w:pStyle w:val="Default"/>
              <w:jc w:val="center"/>
              <w:rPr>
                <w:sz w:val="28"/>
                <w:szCs w:val="28"/>
              </w:rPr>
            </w:pPr>
          </w:p>
          <w:p w14:paraId="27EA22B3" w14:textId="01D69AA0" w:rsidR="00571369" w:rsidRDefault="00571369" w:rsidP="00EE0F97">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20F6AA3E" w14:textId="31EDD642" w:rsidR="00CE06F6" w:rsidRDefault="00CE06F6" w:rsidP="00EE0F97">
            <w:pPr>
              <w:pStyle w:val="Default"/>
              <w:jc w:val="center"/>
              <w:rPr>
                <w:b/>
                <w:bCs/>
                <w:sz w:val="22"/>
                <w:szCs w:val="22"/>
              </w:rPr>
            </w:pPr>
          </w:p>
          <w:p w14:paraId="0C416245" w14:textId="3CC33C54" w:rsidR="00CE06F6" w:rsidRDefault="00CE06F6" w:rsidP="00EE0F97">
            <w:pPr>
              <w:pStyle w:val="Default"/>
              <w:jc w:val="center"/>
              <w:rPr>
                <w:b/>
                <w:bCs/>
                <w:sz w:val="22"/>
                <w:szCs w:val="22"/>
              </w:rPr>
            </w:pPr>
            <w:r>
              <w:rPr>
                <w:b/>
                <w:bCs/>
                <w:sz w:val="22"/>
                <w:szCs w:val="22"/>
              </w:rPr>
              <w:t>PLEASE CLICK LINK BELOW TO JOIN MICROSOFT TEAMS MEETING</w:t>
            </w:r>
          </w:p>
          <w:p w14:paraId="28EE3889" w14:textId="324F06E6" w:rsidR="00B15AFE" w:rsidRDefault="00B15AFE" w:rsidP="00EE0F97">
            <w:pPr>
              <w:pStyle w:val="Default"/>
              <w:jc w:val="center"/>
              <w:rPr>
                <w:b/>
                <w:bCs/>
                <w:sz w:val="22"/>
                <w:szCs w:val="22"/>
              </w:rPr>
            </w:pPr>
          </w:p>
          <w:p w14:paraId="365F6111" w14:textId="77777777" w:rsidR="00EA176F" w:rsidRPr="00EA176F" w:rsidRDefault="00000000" w:rsidP="00EA176F">
            <w:pPr>
              <w:pStyle w:val="Default"/>
              <w:jc w:val="center"/>
              <w:rPr>
                <w:b/>
                <w:bCs/>
                <w:sz w:val="22"/>
                <w:szCs w:val="22"/>
              </w:rPr>
            </w:pPr>
            <w:hyperlink r:id="rId8" w:tgtFrame="_blank" w:history="1">
              <w:r w:rsidR="00EA176F" w:rsidRPr="00EA176F">
                <w:rPr>
                  <w:rStyle w:val="Hyperlink"/>
                  <w:b/>
                  <w:bCs/>
                  <w:sz w:val="22"/>
                  <w:szCs w:val="22"/>
                </w:rPr>
                <w:t>Click here to join the meeting</w:t>
              </w:r>
            </w:hyperlink>
            <w:r w:rsidR="00EA176F" w:rsidRPr="00EA176F">
              <w:rPr>
                <w:b/>
                <w:bCs/>
                <w:sz w:val="22"/>
                <w:szCs w:val="22"/>
              </w:rPr>
              <w:t xml:space="preserve"> </w:t>
            </w:r>
          </w:p>
          <w:p w14:paraId="041B8B0B" w14:textId="77777777" w:rsidR="00EA176F" w:rsidRPr="00EA176F" w:rsidRDefault="00EA176F" w:rsidP="00EA176F">
            <w:pPr>
              <w:pStyle w:val="Default"/>
              <w:jc w:val="center"/>
              <w:rPr>
                <w:b/>
                <w:bCs/>
                <w:sz w:val="22"/>
                <w:szCs w:val="22"/>
              </w:rPr>
            </w:pPr>
            <w:r w:rsidRPr="00EA176F">
              <w:rPr>
                <w:b/>
                <w:bCs/>
                <w:sz w:val="22"/>
                <w:szCs w:val="22"/>
              </w:rPr>
              <w:t xml:space="preserve">Meeting ID: 276 135 363 741 </w:t>
            </w:r>
            <w:r w:rsidRPr="00EA176F">
              <w:rPr>
                <w:b/>
                <w:bCs/>
                <w:sz w:val="22"/>
                <w:szCs w:val="22"/>
              </w:rPr>
              <w:br/>
              <w:t xml:space="preserve">Passcode: </w:t>
            </w:r>
            <w:proofErr w:type="spellStart"/>
            <w:r w:rsidRPr="00EA176F">
              <w:rPr>
                <w:b/>
                <w:bCs/>
                <w:sz w:val="22"/>
                <w:szCs w:val="22"/>
              </w:rPr>
              <w:t>yZDHdC</w:t>
            </w:r>
            <w:proofErr w:type="spellEnd"/>
            <w:r w:rsidRPr="00EA176F">
              <w:rPr>
                <w:b/>
                <w:bCs/>
                <w:sz w:val="22"/>
                <w:szCs w:val="22"/>
              </w:rPr>
              <w:t xml:space="preserve"> </w:t>
            </w:r>
          </w:p>
          <w:p w14:paraId="2FB1CB83" w14:textId="77777777" w:rsidR="00EA176F" w:rsidRPr="00EA176F" w:rsidRDefault="00000000" w:rsidP="00EA176F">
            <w:pPr>
              <w:pStyle w:val="Default"/>
              <w:jc w:val="center"/>
              <w:rPr>
                <w:b/>
                <w:bCs/>
                <w:sz w:val="22"/>
                <w:szCs w:val="22"/>
              </w:rPr>
            </w:pPr>
            <w:hyperlink r:id="rId9" w:tgtFrame="_blank" w:history="1">
              <w:r w:rsidR="00EA176F" w:rsidRPr="00EA176F">
                <w:rPr>
                  <w:rStyle w:val="Hyperlink"/>
                  <w:b/>
                  <w:bCs/>
                  <w:sz w:val="22"/>
                  <w:szCs w:val="22"/>
                </w:rPr>
                <w:t>Download Teams</w:t>
              </w:r>
            </w:hyperlink>
            <w:r w:rsidR="00EA176F" w:rsidRPr="00EA176F">
              <w:rPr>
                <w:b/>
                <w:bCs/>
                <w:sz w:val="22"/>
                <w:szCs w:val="22"/>
              </w:rPr>
              <w:t xml:space="preserve"> | </w:t>
            </w:r>
            <w:hyperlink r:id="rId10" w:tgtFrame="_blank" w:history="1">
              <w:r w:rsidR="00EA176F" w:rsidRPr="00EA176F">
                <w:rPr>
                  <w:rStyle w:val="Hyperlink"/>
                  <w:b/>
                  <w:bCs/>
                  <w:sz w:val="22"/>
                  <w:szCs w:val="22"/>
                </w:rPr>
                <w:t>Join on the web</w:t>
              </w:r>
            </w:hyperlink>
          </w:p>
          <w:p w14:paraId="0CC7F800" w14:textId="77777777" w:rsidR="00B15AFE" w:rsidRDefault="00B15AFE" w:rsidP="00EE0F97">
            <w:pPr>
              <w:pStyle w:val="Default"/>
              <w:jc w:val="center"/>
              <w:rPr>
                <w:sz w:val="22"/>
                <w:szCs w:val="22"/>
              </w:rPr>
            </w:pPr>
          </w:p>
          <w:p w14:paraId="6C16E3EE" w14:textId="62637309" w:rsidR="00571369" w:rsidRDefault="00571369" w:rsidP="00EE0F97">
            <w:pPr>
              <w:pStyle w:val="Default"/>
              <w:jc w:val="center"/>
              <w:rPr>
                <w:b/>
                <w:bCs/>
                <w:sz w:val="23"/>
                <w:szCs w:val="23"/>
              </w:rPr>
            </w:pPr>
            <w:r>
              <w:rPr>
                <w:b/>
                <w:bCs/>
                <w:sz w:val="23"/>
                <w:szCs w:val="23"/>
              </w:rPr>
              <w:t>Contact for Meeting information/testimony submission; Courtney Tagupa, State of Hawaii, Enhanced 911 Board, Room 411A, 1151 Punchbowl Street, Honolulu, HI 96813</w:t>
            </w:r>
          </w:p>
          <w:p w14:paraId="1C411E4D" w14:textId="6E72CAD8" w:rsidR="0098208C" w:rsidRDefault="0098208C" w:rsidP="00EE0F97">
            <w:pPr>
              <w:pStyle w:val="Default"/>
              <w:jc w:val="center"/>
              <w:rPr>
                <w:b/>
                <w:bCs/>
                <w:sz w:val="23"/>
                <w:szCs w:val="23"/>
              </w:rPr>
            </w:pPr>
            <w:r>
              <w:rPr>
                <w:b/>
                <w:bCs/>
                <w:sz w:val="23"/>
                <w:szCs w:val="23"/>
              </w:rPr>
              <w:t>courtney.tagupa@hawaii.gov</w:t>
            </w:r>
          </w:p>
          <w:p w14:paraId="453314DA" w14:textId="77777777" w:rsidR="00571369" w:rsidRDefault="00571369" w:rsidP="00EE0F97">
            <w:pPr>
              <w:pStyle w:val="Default"/>
              <w:jc w:val="center"/>
              <w:rPr>
                <w:sz w:val="23"/>
                <w:szCs w:val="23"/>
              </w:rPr>
            </w:pPr>
          </w:p>
          <w:p w14:paraId="53B3BE8B" w14:textId="77777777" w:rsidR="00571369" w:rsidRDefault="00571369" w:rsidP="00EE0F97">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0A09C27D" w:rsidR="00571369" w:rsidRDefault="00571369" w:rsidP="00EE0F97">
            <w:pPr>
              <w:pStyle w:val="Default"/>
              <w:jc w:val="center"/>
              <w:rPr>
                <w:sz w:val="23"/>
                <w:szCs w:val="23"/>
              </w:rPr>
            </w:pPr>
          </w:p>
          <w:p w14:paraId="3376E37E" w14:textId="77777777" w:rsidR="008B1CF4" w:rsidRDefault="008B1CF4" w:rsidP="00EE0F97">
            <w:pPr>
              <w:pStyle w:val="Default"/>
              <w:jc w:val="center"/>
              <w:rPr>
                <w:sz w:val="23"/>
                <w:szCs w:val="23"/>
              </w:rPr>
            </w:pPr>
          </w:p>
          <w:p w14:paraId="259E2140" w14:textId="22DEE0F8" w:rsidR="00571369" w:rsidRPr="005B5C28" w:rsidRDefault="00571369" w:rsidP="00EE0F97">
            <w:pPr>
              <w:pStyle w:val="Default"/>
              <w:jc w:val="center"/>
              <w:rPr>
                <w:sz w:val="23"/>
                <w:szCs w:val="23"/>
              </w:rPr>
            </w:pPr>
            <w:r w:rsidRPr="005B5C28">
              <w:rPr>
                <w:b/>
                <w:bCs/>
                <w:sz w:val="23"/>
                <w:szCs w:val="23"/>
              </w:rPr>
              <w:t xml:space="preserve">Thursday, </w:t>
            </w:r>
            <w:r w:rsidR="00EA176F">
              <w:rPr>
                <w:b/>
                <w:bCs/>
                <w:sz w:val="23"/>
                <w:szCs w:val="23"/>
              </w:rPr>
              <w:t xml:space="preserve">February </w:t>
            </w:r>
            <w:r w:rsidR="002C117D">
              <w:rPr>
                <w:b/>
                <w:bCs/>
                <w:sz w:val="23"/>
                <w:szCs w:val="23"/>
              </w:rPr>
              <w:t>9</w:t>
            </w:r>
            <w:r w:rsidRPr="005B5C28">
              <w:rPr>
                <w:b/>
                <w:bCs/>
                <w:sz w:val="23"/>
                <w:szCs w:val="23"/>
              </w:rPr>
              <w:t>, 2022</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5572C46E" w:rsidR="00571369" w:rsidRPr="002B774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B1D4F72" w14:textId="14A3C1D3" w:rsidR="00E10626" w:rsidRPr="00366893"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EA176F">
        <w:rPr>
          <w:rFonts w:ascii="Arial Narrow" w:hAnsi="Arial Narrow" w:cs="Arial"/>
          <w:color w:val="4472C4"/>
          <w:sz w:val="28"/>
          <w:szCs w:val="28"/>
        </w:rPr>
        <w:t>January’s</w:t>
      </w:r>
      <w:r>
        <w:rPr>
          <w:rFonts w:ascii="Arial Narrow" w:hAnsi="Arial Narrow" w:cs="Arial"/>
          <w:color w:val="4472C4"/>
          <w:sz w:val="28"/>
          <w:szCs w:val="28"/>
        </w:rPr>
        <w:t xml:space="preserve">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77777777"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181FB5D3" w14:textId="77777777" w:rsidR="00545160" w:rsidRDefault="00545160" w:rsidP="00545160">
      <w:pPr>
        <w:pStyle w:val="Default"/>
        <w:numPr>
          <w:ilvl w:val="2"/>
          <w:numId w:val="1"/>
        </w:numPr>
        <w:rPr>
          <w:sz w:val="23"/>
          <w:szCs w:val="23"/>
        </w:rPr>
      </w:pPr>
      <w:r>
        <w:rPr>
          <w:sz w:val="23"/>
          <w:szCs w:val="23"/>
        </w:rPr>
        <w:t>Update on 9-1-1 GTW (Goes to Washington) Confirmed Meetings Scheduled</w:t>
      </w:r>
    </w:p>
    <w:p w14:paraId="138F2D82" w14:textId="77777777" w:rsidR="00545160" w:rsidRDefault="00545160" w:rsidP="00545160">
      <w:pPr>
        <w:pStyle w:val="Default"/>
        <w:numPr>
          <w:ilvl w:val="2"/>
          <w:numId w:val="1"/>
        </w:numPr>
        <w:rPr>
          <w:sz w:val="23"/>
          <w:szCs w:val="23"/>
        </w:rPr>
      </w:pPr>
      <w:r>
        <w:rPr>
          <w:sz w:val="23"/>
          <w:szCs w:val="23"/>
        </w:rPr>
        <w:t>Conference Call with Trelaine Ito (Senator Schatz) Regarding Funding, Grants, Proposals for our State with Reference to 9-1-1 Services.</w:t>
      </w:r>
    </w:p>
    <w:p w14:paraId="76D17D22" w14:textId="77777777" w:rsidR="00545160" w:rsidRPr="00A032AA" w:rsidRDefault="00545160" w:rsidP="00545160">
      <w:pPr>
        <w:pStyle w:val="ListParagraph"/>
        <w:numPr>
          <w:ilvl w:val="2"/>
          <w:numId w:val="1"/>
        </w:numPr>
        <w:rPr>
          <w:rFonts w:ascii="Arial Narrow" w:hAnsi="Arial Narrow" w:cs="Arial Narrow"/>
          <w:color w:val="000000"/>
          <w:sz w:val="23"/>
          <w:szCs w:val="23"/>
        </w:rPr>
      </w:pPr>
      <w:r w:rsidRPr="00A032AA">
        <w:rPr>
          <w:rFonts w:ascii="Arial Narrow" w:hAnsi="Arial Narrow" w:cs="Arial Narrow"/>
          <w:color w:val="000000"/>
          <w:sz w:val="23"/>
          <w:szCs w:val="23"/>
        </w:rPr>
        <w:t xml:space="preserve">Maui County Resolution 23-29 Urging the Administration to Recognize 9-1-1 Emergency Services Dispatchers as First Responders in the County of Maui. </w:t>
      </w:r>
    </w:p>
    <w:p w14:paraId="5DBA884C" w14:textId="77777777" w:rsidR="00545160" w:rsidRDefault="00545160" w:rsidP="00545160">
      <w:pPr>
        <w:pStyle w:val="Default"/>
        <w:numPr>
          <w:ilvl w:val="2"/>
          <w:numId w:val="1"/>
        </w:numPr>
        <w:rPr>
          <w:sz w:val="23"/>
          <w:szCs w:val="23"/>
        </w:rPr>
      </w:pPr>
      <w:r>
        <w:rPr>
          <w:sz w:val="23"/>
          <w:szCs w:val="23"/>
        </w:rPr>
        <w:t>Next Generation 9-1-1 Standards &amp; Best Practices Conference</w:t>
      </w:r>
    </w:p>
    <w:p w14:paraId="580BAAB1" w14:textId="77777777" w:rsidR="00545160" w:rsidRDefault="00545160" w:rsidP="00545160">
      <w:pPr>
        <w:pStyle w:val="Default"/>
        <w:numPr>
          <w:ilvl w:val="3"/>
          <w:numId w:val="1"/>
        </w:numPr>
        <w:rPr>
          <w:sz w:val="23"/>
          <w:szCs w:val="23"/>
        </w:rPr>
      </w:pPr>
      <w:r>
        <w:rPr>
          <w:sz w:val="23"/>
          <w:szCs w:val="23"/>
        </w:rPr>
        <w:t>Comments &amp; Feedback from Attendees</w:t>
      </w:r>
    </w:p>
    <w:p w14:paraId="4AFDE3FC" w14:textId="080464E1" w:rsidR="00DC0E7D" w:rsidRDefault="00DC0E7D" w:rsidP="00DC0E7D">
      <w:pPr>
        <w:pStyle w:val="Default"/>
        <w:numPr>
          <w:ilvl w:val="1"/>
          <w:numId w:val="1"/>
        </w:numPr>
        <w:ind w:left="1440"/>
        <w:rPr>
          <w:sz w:val="23"/>
          <w:szCs w:val="23"/>
        </w:rPr>
      </w:pPr>
      <w:r>
        <w:rPr>
          <w:sz w:val="23"/>
          <w:szCs w:val="23"/>
        </w:rPr>
        <w:t>Technical Committee – Shawn Kuratani</w:t>
      </w:r>
    </w:p>
    <w:p w14:paraId="2B9EC582" w14:textId="1B652670" w:rsidR="00B54981" w:rsidRDefault="00B54981" w:rsidP="00B54981">
      <w:pPr>
        <w:pStyle w:val="Default"/>
        <w:numPr>
          <w:ilvl w:val="2"/>
          <w:numId w:val="1"/>
        </w:numPr>
        <w:rPr>
          <w:sz w:val="23"/>
          <w:szCs w:val="23"/>
        </w:rPr>
      </w:pPr>
      <w:r>
        <w:rPr>
          <w:sz w:val="23"/>
          <w:szCs w:val="23"/>
        </w:rPr>
        <w:t>Next Generation 9-1-1 Group Discussion February 1, 2023</w:t>
      </w:r>
    </w:p>
    <w:p w14:paraId="1280678A" w14:textId="6CFFC4B9" w:rsidR="00214B0B" w:rsidRDefault="00214B0B" w:rsidP="00214B0B">
      <w:pPr>
        <w:pStyle w:val="Default"/>
        <w:numPr>
          <w:ilvl w:val="2"/>
          <w:numId w:val="1"/>
        </w:numPr>
        <w:rPr>
          <w:sz w:val="23"/>
          <w:szCs w:val="23"/>
        </w:rPr>
      </w:pPr>
      <w:r>
        <w:rPr>
          <w:sz w:val="23"/>
          <w:szCs w:val="23"/>
        </w:rPr>
        <w:t>Future Change to HRS Chapter 138</w:t>
      </w:r>
    </w:p>
    <w:p w14:paraId="3AC255EC" w14:textId="4E7AE658" w:rsidR="004256E3" w:rsidRPr="00FD1A9E" w:rsidRDefault="004256E3" w:rsidP="004256E3">
      <w:pPr>
        <w:pStyle w:val="Default"/>
        <w:numPr>
          <w:ilvl w:val="2"/>
          <w:numId w:val="1"/>
        </w:numPr>
        <w:rPr>
          <w:sz w:val="23"/>
          <w:szCs w:val="23"/>
        </w:rPr>
      </w:pPr>
      <w:r>
        <w:rPr>
          <w:sz w:val="23"/>
          <w:szCs w:val="23"/>
        </w:rPr>
        <w:t>Hawaii Police Department Requesting Funding to add Command Central Community from Motorola Solutions to Current CAD (Computer Aided Dispatch) System in the amount of $66,750.</w:t>
      </w:r>
    </w:p>
    <w:p w14:paraId="662B43A9" w14:textId="23AD34A8" w:rsidR="00DC0E7D" w:rsidRDefault="00DC0E7D" w:rsidP="00DC0E7D">
      <w:pPr>
        <w:pStyle w:val="Default"/>
        <w:numPr>
          <w:ilvl w:val="1"/>
          <w:numId w:val="1"/>
        </w:numPr>
        <w:ind w:left="1440"/>
        <w:rPr>
          <w:sz w:val="23"/>
          <w:szCs w:val="23"/>
        </w:rPr>
      </w:pPr>
      <w:r>
        <w:rPr>
          <w:sz w:val="23"/>
          <w:szCs w:val="23"/>
        </w:rPr>
        <w:t>Advisory Committee – Everett Kaneshige</w:t>
      </w:r>
    </w:p>
    <w:p w14:paraId="47E3059C" w14:textId="77777777" w:rsidR="00187D0C" w:rsidRDefault="00187D0C" w:rsidP="00187D0C">
      <w:pPr>
        <w:pStyle w:val="Default"/>
        <w:numPr>
          <w:ilvl w:val="2"/>
          <w:numId w:val="1"/>
        </w:numPr>
        <w:rPr>
          <w:sz w:val="23"/>
          <w:szCs w:val="23"/>
        </w:rPr>
      </w:pPr>
      <w:r>
        <w:rPr>
          <w:sz w:val="23"/>
          <w:szCs w:val="23"/>
        </w:rPr>
        <w:t>Meeting with HGEA Regarding Formation of Bargaining Unit for 9-1-1 Telecommunicators</w:t>
      </w:r>
    </w:p>
    <w:p w14:paraId="6B5B17DF" w14:textId="728E036F" w:rsidR="00187D0C" w:rsidRDefault="00187D0C" w:rsidP="00187D0C">
      <w:pPr>
        <w:pStyle w:val="Default"/>
        <w:numPr>
          <w:ilvl w:val="2"/>
          <w:numId w:val="1"/>
        </w:numPr>
        <w:rPr>
          <w:sz w:val="23"/>
          <w:szCs w:val="23"/>
        </w:rPr>
      </w:pPr>
      <w:r>
        <w:rPr>
          <w:sz w:val="23"/>
          <w:szCs w:val="23"/>
        </w:rPr>
        <w:t>2023 Bills</w:t>
      </w:r>
      <w:r w:rsidR="00B54981">
        <w:rPr>
          <w:sz w:val="23"/>
          <w:szCs w:val="23"/>
        </w:rPr>
        <w:t xml:space="preserve"> Introduced:</w:t>
      </w:r>
    </w:p>
    <w:p w14:paraId="20AFBCED" w14:textId="77777777" w:rsidR="00187D0C" w:rsidRDefault="00187D0C" w:rsidP="00187D0C">
      <w:pPr>
        <w:pStyle w:val="Default"/>
        <w:numPr>
          <w:ilvl w:val="3"/>
          <w:numId w:val="1"/>
        </w:numPr>
        <w:rPr>
          <w:sz w:val="23"/>
          <w:szCs w:val="23"/>
        </w:rPr>
      </w:pPr>
      <w:r>
        <w:rPr>
          <w:sz w:val="23"/>
          <w:szCs w:val="23"/>
        </w:rPr>
        <w:t>Formation of Bargaining Unit for 9-1-1 Telecommunicators (HB 1398, SB1550)</w:t>
      </w:r>
    </w:p>
    <w:p w14:paraId="46C9D451" w14:textId="6801C4A2" w:rsidR="00187D0C" w:rsidRPr="00187D0C" w:rsidRDefault="00187D0C" w:rsidP="00187D0C">
      <w:pPr>
        <w:pStyle w:val="Default"/>
        <w:numPr>
          <w:ilvl w:val="3"/>
          <w:numId w:val="1"/>
        </w:numPr>
        <w:rPr>
          <w:sz w:val="23"/>
          <w:szCs w:val="23"/>
        </w:rPr>
      </w:pPr>
      <w:r>
        <w:rPr>
          <w:sz w:val="23"/>
          <w:szCs w:val="23"/>
        </w:rPr>
        <w:t>Amendment of Penal Code to Reclassify 9-1-1 Telecommunicators as First Responders (HB162, SB1059)</w:t>
      </w: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411ED96B" w:rsidR="00DC0E7D" w:rsidRDefault="00DC0E7D" w:rsidP="00DC0E7D">
      <w:pPr>
        <w:pStyle w:val="Default"/>
        <w:numPr>
          <w:ilvl w:val="2"/>
          <w:numId w:val="1"/>
        </w:numPr>
        <w:rPr>
          <w:sz w:val="23"/>
          <w:szCs w:val="23"/>
        </w:rPr>
      </w:pPr>
      <w:r>
        <w:rPr>
          <w:sz w:val="23"/>
          <w:szCs w:val="23"/>
        </w:rPr>
        <w:t>Review of Monthly Y-T-D (Year to Date) Cash Flow</w:t>
      </w:r>
      <w:bookmarkStart w:id="1" w:name="_Hlk112915077"/>
    </w:p>
    <w:p w14:paraId="5787A667" w14:textId="00978A63" w:rsidR="00FD1A9E" w:rsidRDefault="00FD1A9E" w:rsidP="00FD1A9E">
      <w:pPr>
        <w:pStyle w:val="Default"/>
        <w:numPr>
          <w:ilvl w:val="2"/>
          <w:numId w:val="1"/>
        </w:numPr>
        <w:rPr>
          <w:sz w:val="23"/>
          <w:szCs w:val="23"/>
        </w:rPr>
      </w:pPr>
      <w:r>
        <w:rPr>
          <w:sz w:val="23"/>
          <w:szCs w:val="23"/>
        </w:rPr>
        <w:t>Hawaii Police Department Requesting Funding to add Command Central Community from Motorola Solutions to Current CAD (Computer Aided Dispatch) System</w:t>
      </w:r>
      <w:r w:rsidR="004256E3">
        <w:rPr>
          <w:sz w:val="23"/>
          <w:szCs w:val="23"/>
        </w:rPr>
        <w:t xml:space="preserve"> in the amount of $66,750.</w:t>
      </w:r>
    </w:p>
    <w:bookmarkEnd w:id="0"/>
    <w:bookmarkEnd w:id="1"/>
    <w:p w14:paraId="6B509C44" w14:textId="0C09756B" w:rsidR="006E5EB2" w:rsidRPr="00745051" w:rsidRDefault="006E5EB2" w:rsidP="006E5EB2">
      <w:pPr>
        <w:pStyle w:val="Default"/>
        <w:numPr>
          <w:ilvl w:val="2"/>
          <w:numId w:val="1"/>
        </w:numPr>
        <w:rPr>
          <w:sz w:val="23"/>
          <w:szCs w:val="23"/>
        </w:rPr>
      </w:pPr>
      <w:r>
        <w:rPr>
          <w:sz w:val="23"/>
          <w:szCs w:val="23"/>
        </w:rPr>
        <w:t>Board Chair Requesting Approval of $5000 for QuickBooks Assistance/Courses/Tutorials/Training</w:t>
      </w:r>
    </w:p>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lastRenderedPageBreak/>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7823D29B"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11536F9C"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April 13, 2023 (Combined Meeting)</w:t>
      </w:r>
    </w:p>
    <w:p w14:paraId="48ED6B58"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573BE73C" w14:textId="77777777" w:rsidR="00B87471" w:rsidRPr="00490CF0"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736B71E4"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CB05" w14:textId="77777777" w:rsidR="00FB45F4" w:rsidRDefault="00FB45F4">
      <w:r>
        <w:separator/>
      </w:r>
    </w:p>
  </w:endnote>
  <w:endnote w:type="continuationSeparator" w:id="0">
    <w:p w14:paraId="4113C0D9" w14:textId="77777777" w:rsidR="00FB45F4" w:rsidRDefault="00FB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77777777" w:rsidR="004B3765" w:rsidRDefault="004B3765" w:rsidP="004B3765">
    <w:pPr>
      <w:pStyle w:val="Footer"/>
    </w:pPr>
    <w:r>
      <w:t>Upon request, this notice is available in alternate formats</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7777777" w:rsidR="004B3765" w:rsidRDefault="004B3765" w:rsidP="004B3765">
    <w:pPr>
      <w:pStyle w:val="Footer"/>
    </w:pPr>
    <w:r>
      <w:t>Upon request, this notice is available in alternate formats</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17E5" w14:textId="77777777" w:rsidR="00FB45F4" w:rsidRDefault="00FB45F4">
      <w:r>
        <w:separator/>
      </w:r>
    </w:p>
  </w:footnote>
  <w:footnote w:type="continuationSeparator" w:id="0">
    <w:p w14:paraId="36678522" w14:textId="77777777" w:rsidR="00FB45F4" w:rsidRDefault="00FB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67E3A"/>
    <w:rsid w:val="000B1116"/>
    <w:rsid w:val="000B287F"/>
    <w:rsid w:val="000B702C"/>
    <w:rsid w:val="000C1769"/>
    <w:rsid w:val="000C1CD8"/>
    <w:rsid w:val="000C6B34"/>
    <w:rsid w:val="000C72BF"/>
    <w:rsid w:val="000D5947"/>
    <w:rsid w:val="000F4833"/>
    <w:rsid w:val="000F5068"/>
    <w:rsid w:val="000F645F"/>
    <w:rsid w:val="0012798E"/>
    <w:rsid w:val="00135E4E"/>
    <w:rsid w:val="00145229"/>
    <w:rsid w:val="00187D0C"/>
    <w:rsid w:val="001A1EF3"/>
    <w:rsid w:val="001A7A5C"/>
    <w:rsid w:val="001C48D0"/>
    <w:rsid w:val="001F28B1"/>
    <w:rsid w:val="00203C81"/>
    <w:rsid w:val="00214B0B"/>
    <w:rsid w:val="00225EA7"/>
    <w:rsid w:val="00260237"/>
    <w:rsid w:val="002616D6"/>
    <w:rsid w:val="00272F3F"/>
    <w:rsid w:val="0027416C"/>
    <w:rsid w:val="00274ED1"/>
    <w:rsid w:val="0028097A"/>
    <w:rsid w:val="002851F1"/>
    <w:rsid w:val="0029068F"/>
    <w:rsid w:val="00296BFE"/>
    <w:rsid w:val="00297B96"/>
    <w:rsid w:val="002B7748"/>
    <w:rsid w:val="002C117D"/>
    <w:rsid w:val="00310368"/>
    <w:rsid w:val="0031144B"/>
    <w:rsid w:val="00335044"/>
    <w:rsid w:val="00366893"/>
    <w:rsid w:val="00371C14"/>
    <w:rsid w:val="00376CCD"/>
    <w:rsid w:val="00377743"/>
    <w:rsid w:val="00390FBD"/>
    <w:rsid w:val="003A4332"/>
    <w:rsid w:val="003A6BFF"/>
    <w:rsid w:val="003C4538"/>
    <w:rsid w:val="003D2F64"/>
    <w:rsid w:val="003E5A02"/>
    <w:rsid w:val="003E7F62"/>
    <w:rsid w:val="003F6537"/>
    <w:rsid w:val="004256E3"/>
    <w:rsid w:val="00446C70"/>
    <w:rsid w:val="00447962"/>
    <w:rsid w:val="00477AAE"/>
    <w:rsid w:val="00477C41"/>
    <w:rsid w:val="0048089E"/>
    <w:rsid w:val="004B1AD6"/>
    <w:rsid w:val="004B3765"/>
    <w:rsid w:val="004C0F78"/>
    <w:rsid w:val="004C6A16"/>
    <w:rsid w:val="004C76BF"/>
    <w:rsid w:val="004D291C"/>
    <w:rsid w:val="004F51AC"/>
    <w:rsid w:val="005056BA"/>
    <w:rsid w:val="00525BCD"/>
    <w:rsid w:val="005429C1"/>
    <w:rsid w:val="00545160"/>
    <w:rsid w:val="00556AC2"/>
    <w:rsid w:val="00560549"/>
    <w:rsid w:val="0056392E"/>
    <w:rsid w:val="00571369"/>
    <w:rsid w:val="00576179"/>
    <w:rsid w:val="00586773"/>
    <w:rsid w:val="005F24E0"/>
    <w:rsid w:val="0060671B"/>
    <w:rsid w:val="00673068"/>
    <w:rsid w:val="00675CCD"/>
    <w:rsid w:val="006C1AE5"/>
    <w:rsid w:val="006C4FD9"/>
    <w:rsid w:val="006D499A"/>
    <w:rsid w:val="006E301E"/>
    <w:rsid w:val="006E5EB2"/>
    <w:rsid w:val="006E61D9"/>
    <w:rsid w:val="006F5021"/>
    <w:rsid w:val="00701802"/>
    <w:rsid w:val="00707770"/>
    <w:rsid w:val="00714AA1"/>
    <w:rsid w:val="00717DA5"/>
    <w:rsid w:val="0072735D"/>
    <w:rsid w:val="0073317A"/>
    <w:rsid w:val="00766936"/>
    <w:rsid w:val="007A1973"/>
    <w:rsid w:val="007A75D1"/>
    <w:rsid w:val="007B319E"/>
    <w:rsid w:val="007B5793"/>
    <w:rsid w:val="007C3179"/>
    <w:rsid w:val="007D4DCE"/>
    <w:rsid w:val="007E1728"/>
    <w:rsid w:val="00815CC7"/>
    <w:rsid w:val="008234E1"/>
    <w:rsid w:val="00823CE6"/>
    <w:rsid w:val="00826E19"/>
    <w:rsid w:val="008274AD"/>
    <w:rsid w:val="00842FB5"/>
    <w:rsid w:val="00876691"/>
    <w:rsid w:val="00885B0D"/>
    <w:rsid w:val="008A74E9"/>
    <w:rsid w:val="008B1CF4"/>
    <w:rsid w:val="008C079A"/>
    <w:rsid w:val="008C2998"/>
    <w:rsid w:val="008E5CAE"/>
    <w:rsid w:val="00906CF1"/>
    <w:rsid w:val="00926B78"/>
    <w:rsid w:val="00935FCE"/>
    <w:rsid w:val="009405FC"/>
    <w:rsid w:val="00951476"/>
    <w:rsid w:val="009624FB"/>
    <w:rsid w:val="0096379C"/>
    <w:rsid w:val="00965631"/>
    <w:rsid w:val="0097606A"/>
    <w:rsid w:val="0098208C"/>
    <w:rsid w:val="009A2C1B"/>
    <w:rsid w:val="009B79BA"/>
    <w:rsid w:val="009E545F"/>
    <w:rsid w:val="00A03455"/>
    <w:rsid w:val="00A1404B"/>
    <w:rsid w:val="00A53701"/>
    <w:rsid w:val="00A73DAD"/>
    <w:rsid w:val="00AA0ED9"/>
    <w:rsid w:val="00AA5D6E"/>
    <w:rsid w:val="00AA6595"/>
    <w:rsid w:val="00AB73CA"/>
    <w:rsid w:val="00AC4918"/>
    <w:rsid w:val="00AD0165"/>
    <w:rsid w:val="00AD0B5F"/>
    <w:rsid w:val="00AE5AE4"/>
    <w:rsid w:val="00B025C6"/>
    <w:rsid w:val="00B02AEA"/>
    <w:rsid w:val="00B05FD7"/>
    <w:rsid w:val="00B15AFE"/>
    <w:rsid w:val="00B343B0"/>
    <w:rsid w:val="00B54981"/>
    <w:rsid w:val="00B63975"/>
    <w:rsid w:val="00B751B5"/>
    <w:rsid w:val="00B87471"/>
    <w:rsid w:val="00BA115C"/>
    <w:rsid w:val="00BB7631"/>
    <w:rsid w:val="00BC339A"/>
    <w:rsid w:val="00BC7BC8"/>
    <w:rsid w:val="00BE7E4C"/>
    <w:rsid w:val="00C12904"/>
    <w:rsid w:val="00C24209"/>
    <w:rsid w:val="00C30BD2"/>
    <w:rsid w:val="00C56A3B"/>
    <w:rsid w:val="00CC37C4"/>
    <w:rsid w:val="00CD2A08"/>
    <w:rsid w:val="00CD2BD3"/>
    <w:rsid w:val="00CE06F6"/>
    <w:rsid w:val="00CF2786"/>
    <w:rsid w:val="00D32DBA"/>
    <w:rsid w:val="00D34FA7"/>
    <w:rsid w:val="00D37298"/>
    <w:rsid w:val="00D46A50"/>
    <w:rsid w:val="00D547A9"/>
    <w:rsid w:val="00D55284"/>
    <w:rsid w:val="00D601CD"/>
    <w:rsid w:val="00D73E20"/>
    <w:rsid w:val="00DC0E7D"/>
    <w:rsid w:val="00DC5A4D"/>
    <w:rsid w:val="00DD4DFB"/>
    <w:rsid w:val="00E10626"/>
    <w:rsid w:val="00E50DAA"/>
    <w:rsid w:val="00E547F8"/>
    <w:rsid w:val="00E57FC3"/>
    <w:rsid w:val="00EA176F"/>
    <w:rsid w:val="00EB1358"/>
    <w:rsid w:val="00EB66A6"/>
    <w:rsid w:val="00EC4D58"/>
    <w:rsid w:val="00ED1800"/>
    <w:rsid w:val="00EE0F97"/>
    <w:rsid w:val="00EE7C31"/>
    <w:rsid w:val="00EF480C"/>
    <w:rsid w:val="00F338B4"/>
    <w:rsid w:val="00F359B2"/>
    <w:rsid w:val="00F36C7D"/>
    <w:rsid w:val="00F51077"/>
    <w:rsid w:val="00F54BFE"/>
    <w:rsid w:val="00F63F86"/>
    <w:rsid w:val="00F732FF"/>
    <w:rsid w:val="00F740E2"/>
    <w:rsid w:val="00F8548B"/>
    <w:rsid w:val="00F964DD"/>
    <w:rsid w:val="00FB45F4"/>
    <w:rsid w:val="00FB4FD2"/>
    <w:rsid w:val="00FC260B"/>
    <w:rsid w:val="00FD01EA"/>
    <w:rsid w:val="00FD1A9E"/>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WQ0YThjYjktZjEyOC00ZmZkLWI2ZWYtNjBkMGJhYTZmMmM2%40thread.v2/0?context=%7b%22Tid%22%3a%223847dec6-63b2-43f9-a6d0-58a40aaa1a10%22%2c%22Oid%22%3a%2254d0919f-deb4-4ab9-8a7d-dc9e615f0f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21</cp:revision>
  <dcterms:created xsi:type="dcterms:W3CDTF">2023-01-27T01:26:00Z</dcterms:created>
  <dcterms:modified xsi:type="dcterms:W3CDTF">2023-02-03T23:13:00Z</dcterms:modified>
</cp:coreProperties>
</file>