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word/drawings/drawing3.xml" ContentType="application/vnd.openxmlformats-officedocument.drawingml.chartshapes+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drawings/drawing1.xml" ContentType="application/vnd.openxmlformats-officedocument.drawingml.chartshapes+xml"/>
  <Override PartName="/word/charts/chart7.xml" ContentType="application/vnd.openxmlformats-officedocument.drawingml.chart+xml"/>
  <Override PartName="/word/drawings/drawing2.xml" ContentType="application/vnd.openxmlformats-officedocument.drawingml.chartshapes+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11B1" w:rsidRDefault="003911B1" w:rsidP="00A63ADD">
      <w:pPr>
        <w:pStyle w:val="NoSpacing"/>
        <w:jc w:val="center"/>
        <w:rPr>
          <w:b/>
        </w:rPr>
      </w:pPr>
      <w:r w:rsidRPr="003911B1">
        <w:rPr>
          <w:b/>
        </w:rPr>
        <w:t>OIP</w:t>
      </w:r>
      <w:r w:rsidR="00A63ADD">
        <w:rPr>
          <w:b/>
        </w:rPr>
        <w:t>’S</w:t>
      </w:r>
      <w:r w:rsidRPr="003911B1">
        <w:rPr>
          <w:b/>
        </w:rPr>
        <w:t xml:space="preserve"> </w:t>
      </w:r>
      <w:r w:rsidR="00A63ADD">
        <w:rPr>
          <w:b/>
        </w:rPr>
        <w:t xml:space="preserve">PRELIMINARY </w:t>
      </w:r>
      <w:r w:rsidRPr="003911B1">
        <w:rPr>
          <w:b/>
        </w:rPr>
        <w:t xml:space="preserve">SUMMARY OF </w:t>
      </w:r>
      <w:r w:rsidR="00A63ADD">
        <w:rPr>
          <w:b/>
        </w:rPr>
        <w:t xml:space="preserve">THE </w:t>
      </w:r>
      <w:r w:rsidR="00D4431E">
        <w:rPr>
          <w:b/>
        </w:rPr>
        <w:t xml:space="preserve">MASTER </w:t>
      </w:r>
      <w:r w:rsidR="00182DB9" w:rsidRPr="003911B1">
        <w:rPr>
          <w:b/>
        </w:rPr>
        <w:t>UIPA R</w:t>
      </w:r>
      <w:r w:rsidRPr="003911B1">
        <w:rPr>
          <w:b/>
        </w:rPr>
        <w:t xml:space="preserve">ECORD REQUEST </w:t>
      </w:r>
      <w:r w:rsidR="00D4431E">
        <w:rPr>
          <w:b/>
        </w:rPr>
        <w:t xml:space="preserve">SEMIANNUAL </w:t>
      </w:r>
      <w:r w:rsidRPr="003911B1">
        <w:rPr>
          <w:b/>
        </w:rPr>
        <w:t>LOG</w:t>
      </w:r>
      <w:r w:rsidR="009701EA">
        <w:rPr>
          <w:b/>
        </w:rPr>
        <w:t xml:space="preserve"> for </w:t>
      </w:r>
      <w:r w:rsidRPr="003911B1">
        <w:rPr>
          <w:b/>
        </w:rPr>
        <w:t>FY 2014</w:t>
      </w:r>
    </w:p>
    <w:p w:rsidR="00523943" w:rsidRDefault="000634D6" w:rsidP="00A63ADD">
      <w:pPr>
        <w:pStyle w:val="NoSpacing"/>
        <w:jc w:val="center"/>
        <w:rPr>
          <w:b/>
        </w:rPr>
      </w:pPr>
      <w:r w:rsidRPr="003911B1">
        <w:rPr>
          <w:b/>
        </w:rPr>
        <w:t>(</w:t>
      </w:r>
      <w:r w:rsidR="003911B1" w:rsidRPr="003911B1">
        <w:rPr>
          <w:b/>
        </w:rPr>
        <w:t xml:space="preserve">For </w:t>
      </w:r>
      <w:r w:rsidRPr="003911B1">
        <w:rPr>
          <w:b/>
        </w:rPr>
        <w:t>record requests received from July 1</w:t>
      </w:r>
      <w:r w:rsidR="003911B1" w:rsidRPr="003911B1">
        <w:rPr>
          <w:b/>
        </w:rPr>
        <w:t xml:space="preserve"> to</w:t>
      </w:r>
      <w:r w:rsidRPr="003911B1">
        <w:rPr>
          <w:b/>
        </w:rPr>
        <w:t xml:space="preserve"> December 31, 2013)</w:t>
      </w:r>
    </w:p>
    <w:p w:rsidR="003911B1" w:rsidRDefault="003911B1" w:rsidP="00A63ADD">
      <w:pPr>
        <w:pStyle w:val="NoSpacing"/>
        <w:jc w:val="center"/>
        <w:rPr>
          <w:b/>
        </w:rPr>
      </w:pPr>
    </w:p>
    <w:p w:rsidR="003911B1" w:rsidRPr="003911B1" w:rsidRDefault="003911B1" w:rsidP="003911B1">
      <w:pPr>
        <w:pStyle w:val="NoSpacing"/>
        <w:jc w:val="center"/>
        <w:rPr>
          <w:b/>
        </w:rPr>
      </w:pPr>
    </w:p>
    <w:p w:rsidR="007727E5" w:rsidRDefault="009701EA" w:rsidP="000634D6">
      <w:r>
        <w:t>The state Office of Information Practices (OIP) has prepared this</w:t>
      </w:r>
      <w:r w:rsidR="00D4431E" w:rsidRPr="00D4431E">
        <w:t xml:space="preserve"> </w:t>
      </w:r>
      <w:r w:rsidR="00A63ADD">
        <w:t>preliminary su</w:t>
      </w:r>
      <w:r w:rsidR="00D4431E" w:rsidRPr="00D4431E">
        <w:t xml:space="preserve">mmary based on </w:t>
      </w:r>
      <w:r w:rsidR="00F453A8">
        <w:t>information</w:t>
      </w:r>
      <w:r w:rsidR="00D4431E" w:rsidRPr="00D4431E">
        <w:t xml:space="preserve"> reported </w:t>
      </w:r>
      <w:r w:rsidR="00D4431E">
        <w:t xml:space="preserve">at data.hawaii.gov on the Master UIPA Record Request Semiannual Log for FY 2014, </w:t>
      </w:r>
      <w:r w:rsidR="000634D6" w:rsidRPr="00D4431E">
        <w:t xml:space="preserve">as of </w:t>
      </w:r>
      <w:r w:rsidR="00D4431E" w:rsidRPr="00D4431E">
        <w:t>March 14, 2014</w:t>
      </w:r>
      <w:r w:rsidR="00D4431E">
        <w:t>,</w:t>
      </w:r>
      <w:r w:rsidR="00D4431E" w:rsidRPr="00D4431E">
        <w:t xml:space="preserve"> by 116 agencies within </w:t>
      </w:r>
      <w:r w:rsidR="000634D6" w:rsidRPr="00D4431E">
        <w:t xml:space="preserve"> </w:t>
      </w:r>
      <w:r w:rsidR="000634D6">
        <w:t>DAGS, AG, B&amp;F, DBEDT, DCCA, DOE, DOH, DHS, DLNR, PSD, DOT</w:t>
      </w:r>
      <w:r w:rsidR="00D4431E">
        <w:t xml:space="preserve">, </w:t>
      </w:r>
      <w:r w:rsidR="000634D6">
        <w:t>Gov, Lt.Gov, UH, Jud</w:t>
      </w:r>
      <w:r w:rsidR="00C351F2">
        <w:t>iciary</w:t>
      </w:r>
      <w:r w:rsidR="00D4431E">
        <w:t xml:space="preserve">.  </w:t>
      </w:r>
      <w:r w:rsidR="007727E5">
        <w:t xml:space="preserve">The accompanying charts help to interpret and visualize the data </w:t>
      </w:r>
      <w:r w:rsidR="00A63ADD">
        <w:t xml:space="preserve">summarized </w:t>
      </w:r>
      <w:r w:rsidR="007727E5">
        <w:t>below.</w:t>
      </w:r>
    </w:p>
    <w:p w:rsidR="007727E5" w:rsidRDefault="00F453A8" w:rsidP="00C73324">
      <w:r>
        <w:t xml:space="preserve">Because the Log entry process is new for most agencies, there are likely to be reporting errors creating discrepancies in the results.  </w:t>
      </w:r>
      <w:r w:rsidR="00A63ADD">
        <w:t xml:space="preserve">OIP has not analyzed the data inputted at the agency level.  </w:t>
      </w:r>
      <w:r>
        <w:t>Consequently, these results should be viewed as preliminary data</w:t>
      </w:r>
      <w:r w:rsidR="00A63ADD">
        <w:t>, and the quality of the data collected is expected to improve over time as agencies become more experienced with the Log reporting process.</w:t>
      </w:r>
    </w:p>
    <w:p w:rsidR="00F453A8" w:rsidRDefault="00F453A8" w:rsidP="00C73324">
      <w:pPr>
        <w:rPr>
          <w:b/>
          <w:u w:val="single"/>
        </w:rPr>
      </w:pPr>
    </w:p>
    <w:p w:rsidR="00C73324" w:rsidRPr="00737F23" w:rsidRDefault="00C73324" w:rsidP="00C73324">
      <w:pPr>
        <w:rPr>
          <w:b/>
        </w:rPr>
      </w:pPr>
      <w:r>
        <w:rPr>
          <w:b/>
          <w:u w:val="single"/>
        </w:rPr>
        <w:t>IDENTIFICATION OF REQUESTS</w:t>
      </w:r>
      <w:r w:rsidRPr="00737F23">
        <w:rPr>
          <w:b/>
        </w:rPr>
        <w:t>:</w:t>
      </w:r>
    </w:p>
    <w:p w:rsidR="000634D6" w:rsidRDefault="000634D6" w:rsidP="000634D6">
      <w:r>
        <w:t>Personal records requests:  92</w:t>
      </w:r>
    </w:p>
    <w:p w:rsidR="000634D6" w:rsidRPr="00D4431E" w:rsidRDefault="000634D6" w:rsidP="000634D6">
      <w:r w:rsidRPr="00D4431E">
        <w:t xml:space="preserve">Total </w:t>
      </w:r>
      <w:r w:rsidR="00C73324" w:rsidRPr="00D4431E">
        <w:t xml:space="preserve">formal </w:t>
      </w:r>
      <w:r w:rsidRPr="00D4431E">
        <w:t xml:space="preserve">record requests:  </w:t>
      </w:r>
      <w:proofErr w:type="gramStart"/>
      <w:r w:rsidRPr="00D4431E">
        <w:t>3,</w:t>
      </w:r>
      <w:r w:rsidR="00C73324" w:rsidRPr="00D4431E">
        <w:t>414</w:t>
      </w:r>
      <w:r w:rsidR="002F3925">
        <w:t xml:space="preserve">  </w:t>
      </w:r>
      <w:r w:rsidR="002F3925" w:rsidRPr="002F3925">
        <w:rPr>
          <w:b/>
        </w:rPr>
        <w:t>(</w:t>
      </w:r>
      <w:proofErr w:type="gramEnd"/>
      <w:r w:rsidR="002F3925" w:rsidRPr="002F3925">
        <w:rPr>
          <w:b/>
        </w:rPr>
        <w:t>Chart 1)</w:t>
      </w:r>
      <w:r w:rsidR="00C73324">
        <w:rPr>
          <w:b/>
        </w:rPr>
        <w:br/>
      </w:r>
      <w:r w:rsidR="00C73324">
        <w:rPr>
          <w:b/>
        </w:rPr>
        <w:br/>
      </w:r>
      <w:r w:rsidR="00C73324" w:rsidRPr="00D4431E">
        <w:t>Total routine record requests:  553,836 (requests handled routinely &amp; no notice sent to requester)</w:t>
      </w:r>
      <w:r w:rsidR="002F3925">
        <w:t xml:space="preserve"> </w:t>
      </w:r>
      <w:r w:rsidR="002F3925" w:rsidRPr="002F3925">
        <w:rPr>
          <w:b/>
        </w:rPr>
        <w:t>(Chart 1)</w:t>
      </w:r>
      <w:r w:rsidR="002F3925">
        <w:t xml:space="preserve"> </w:t>
      </w:r>
    </w:p>
    <w:p w:rsidR="00AF4B3F" w:rsidRDefault="00AF4B3F" w:rsidP="000634D6">
      <w:r>
        <w:t>Notices sent to requesters:  2,776</w:t>
      </w:r>
    </w:p>
    <w:p w:rsidR="00AF4B3F" w:rsidRDefault="00AF4B3F" w:rsidP="000634D6">
      <w:r>
        <w:t>Agency’s initial response sent within 10 work days:  2,086</w:t>
      </w:r>
      <w:r w:rsidR="00355C3B">
        <w:t xml:space="preserve"> (61% of </w:t>
      </w:r>
      <w:r w:rsidR="00D4431E">
        <w:t>3,414</w:t>
      </w:r>
      <w:r w:rsidR="00355C3B">
        <w:t xml:space="preserve"> record requests)</w:t>
      </w:r>
    </w:p>
    <w:p w:rsidR="00355C3B" w:rsidRDefault="00B16C66" w:rsidP="000634D6">
      <w:r>
        <w:t>Request needed initial clarification:  62</w:t>
      </w:r>
    </w:p>
    <w:p w:rsidR="00B16C66" w:rsidRDefault="00B16C66" w:rsidP="000634D6">
      <w:r>
        <w:t>Complex request</w:t>
      </w:r>
      <w:r w:rsidR="00A1793B">
        <w:t>s</w:t>
      </w:r>
      <w:r>
        <w:t>:  47</w:t>
      </w:r>
    </w:p>
    <w:p w:rsidR="00B16C66" w:rsidRDefault="00A1793B" w:rsidP="000634D6">
      <w:r>
        <w:t>Agency gav</w:t>
      </w:r>
      <w:r w:rsidR="00B16C66">
        <w:t>e incremental responses:  28</w:t>
      </w:r>
      <w:r w:rsidR="00737F23">
        <w:br/>
      </w:r>
    </w:p>
    <w:p w:rsidR="00737F23" w:rsidRPr="00737F23" w:rsidRDefault="00C73324" w:rsidP="000634D6">
      <w:pPr>
        <w:rPr>
          <w:b/>
        </w:rPr>
      </w:pPr>
      <w:r>
        <w:rPr>
          <w:b/>
          <w:u w:val="single"/>
        </w:rPr>
        <w:t>RESOLUTION OF REQUESTS</w:t>
      </w:r>
      <w:r w:rsidR="00737F23" w:rsidRPr="00737F23">
        <w:rPr>
          <w:b/>
        </w:rPr>
        <w:t>:</w:t>
      </w:r>
    </w:p>
    <w:p w:rsidR="00D4431E" w:rsidRDefault="00B16C66" w:rsidP="00D4431E">
      <w:pPr>
        <w:pStyle w:val="NoSpacing"/>
      </w:pPr>
      <w:r w:rsidRPr="00D4431E">
        <w:t xml:space="preserve">Requests completed:  3,375 (98.8% of </w:t>
      </w:r>
      <w:r w:rsidR="00D4431E">
        <w:t>3,</w:t>
      </w:r>
      <w:r w:rsidR="007727E5">
        <w:t>414</w:t>
      </w:r>
      <w:r w:rsidRPr="00D4431E">
        <w:t xml:space="preserve"> record requests)</w:t>
      </w:r>
      <w:r w:rsidR="002F3925">
        <w:t xml:space="preserve"> </w:t>
      </w:r>
      <w:r w:rsidR="002F3925" w:rsidRPr="002F3925">
        <w:rPr>
          <w:b/>
        </w:rPr>
        <w:t>(Chart 2)</w:t>
      </w:r>
    </w:p>
    <w:p w:rsidR="00D4431E" w:rsidRDefault="00D4431E" w:rsidP="00D4431E">
      <w:pPr>
        <w:pStyle w:val="NoSpacing"/>
      </w:pPr>
    </w:p>
    <w:p w:rsidR="00B16C66" w:rsidRDefault="00AF4491" w:rsidP="000634D6">
      <w:pPr>
        <w:rPr>
          <w:b/>
        </w:rPr>
      </w:pPr>
      <w:r w:rsidRPr="00D4431E">
        <w:t>Average number of workdays to complete</w:t>
      </w:r>
      <w:r w:rsidR="00C54C64">
        <w:t xml:space="preserve"> all requests</w:t>
      </w:r>
      <w:r w:rsidRPr="00D4431E">
        <w:t xml:space="preserve">:  </w:t>
      </w:r>
      <w:r w:rsidR="00C54C64">
        <w:t>8.03</w:t>
      </w:r>
      <w:r w:rsidRPr="00D4431E">
        <w:t xml:space="preserve"> days</w:t>
      </w:r>
      <w:r w:rsidR="00C73324" w:rsidRPr="00D4431E">
        <w:t xml:space="preserve"> </w:t>
      </w:r>
      <w:r w:rsidR="002F3925">
        <w:rPr>
          <w:b/>
        </w:rPr>
        <w:t xml:space="preserve">(Chart 3) </w:t>
      </w:r>
    </w:p>
    <w:p w:rsidR="00CF73B3" w:rsidRDefault="00CF73B3" w:rsidP="000634D6">
      <w:r w:rsidRPr="00D4431E">
        <w:t>UIPA lawsuit filed against agency:  1</w:t>
      </w:r>
    </w:p>
    <w:p w:rsidR="00C54C64" w:rsidRPr="002F3925" w:rsidRDefault="00C54C64" w:rsidP="000634D6"/>
    <w:p w:rsidR="007727E5" w:rsidRDefault="007727E5" w:rsidP="000634D6">
      <w:r w:rsidRPr="002F3925">
        <w:rPr>
          <w:b/>
        </w:rPr>
        <w:t>Note</w:t>
      </w:r>
      <w:r w:rsidR="002F3925" w:rsidRPr="002F3925">
        <w:rPr>
          <w:b/>
        </w:rPr>
        <w:t xml:space="preserve"> 1</w:t>
      </w:r>
      <w:r w:rsidRPr="002F3925">
        <w:rPr>
          <w:b/>
        </w:rPr>
        <w:t>:</w:t>
      </w:r>
      <w:r>
        <w:t xml:space="preserve">  Although agencies were instructed to check only one of the following explanations of how a request was ultimately resolved, it appears that more than outcome was checked by some </w:t>
      </w:r>
      <w:r>
        <w:lastRenderedPageBreak/>
        <w:t>agencies.  This reporting error likely explains why only 3,375 requests were completed, but 3,580 outcomes were reported below.  In calculating percentages, 3,375 was used as the number of requests completed, which is why the total perc</w:t>
      </w:r>
      <w:r w:rsidR="002F3925">
        <w:t xml:space="preserve">entage exceeds 100% in </w:t>
      </w:r>
      <w:r w:rsidR="002F3925" w:rsidRPr="002F3925">
        <w:rPr>
          <w:b/>
        </w:rPr>
        <w:t>Chart 4A</w:t>
      </w:r>
      <w:r w:rsidR="002F3925">
        <w:t>, which shows how requests were resolved</w:t>
      </w:r>
      <w:r w:rsidR="00471197">
        <w:t>.</w:t>
      </w:r>
      <w:r>
        <w:t xml:space="preserve"> </w:t>
      </w:r>
    </w:p>
    <w:p w:rsidR="00D4431E" w:rsidRDefault="00AF4491" w:rsidP="000634D6">
      <w:r w:rsidRPr="00D4431E">
        <w:t>Requests granted in full:  1,199</w:t>
      </w:r>
      <w:r w:rsidR="00C73324" w:rsidRPr="00D4431E">
        <w:t xml:space="preserve"> </w:t>
      </w:r>
      <w:r w:rsidR="002F3925">
        <w:t>(35.5%</w:t>
      </w:r>
      <w:r w:rsidR="008A7B24">
        <w:t xml:space="preserve"> of 3,375 requests</w:t>
      </w:r>
      <w:r w:rsidR="002F3925">
        <w:t>)</w:t>
      </w:r>
    </w:p>
    <w:p w:rsidR="00AF4491" w:rsidRPr="00D4431E" w:rsidRDefault="00AF4491" w:rsidP="000634D6">
      <w:r w:rsidRPr="00D4431E">
        <w:t>Requests denied in full:  50</w:t>
      </w:r>
      <w:r w:rsidR="00196481" w:rsidRPr="00D4431E">
        <w:t xml:space="preserve"> </w:t>
      </w:r>
      <w:r w:rsidR="002F3925">
        <w:t>(1.5%)</w:t>
      </w:r>
    </w:p>
    <w:p w:rsidR="00AF4491" w:rsidRPr="00D4431E" w:rsidRDefault="00AF4491" w:rsidP="000634D6">
      <w:r w:rsidRPr="00D4431E">
        <w:t>Requests denied in part:  153</w:t>
      </w:r>
      <w:r w:rsidR="00196481" w:rsidRPr="00D4431E">
        <w:t xml:space="preserve"> </w:t>
      </w:r>
      <w:r w:rsidR="002F3925">
        <w:t>(4.5%)</w:t>
      </w:r>
    </w:p>
    <w:p w:rsidR="00AF4491" w:rsidRPr="00D4431E" w:rsidRDefault="00AF4491" w:rsidP="000634D6">
      <w:r w:rsidRPr="00D4431E">
        <w:t>Agency ultimately unable to respond to request:  1,892</w:t>
      </w:r>
      <w:r w:rsidR="00196481" w:rsidRPr="00D4431E">
        <w:t xml:space="preserve"> </w:t>
      </w:r>
      <w:r w:rsidR="002F3925">
        <w:t>(56%)</w:t>
      </w:r>
    </w:p>
    <w:p w:rsidR="00A1793B" w:rsidRPr="00D4431E" w:rsidRDefault="00A1793B" w:rsidP="000634D6">
      <w:r w:rsidRPr="00D4431E">
        <w:t>Requester withdrew:  241</w:t>
      </w:r>
      <w:r w:rsidR="00196481" w:rsidRPr="00D4431E">
        <w:t xml:space="preserve"> </w:t>
      </w:r>
      <w:r w:rsidR="002F3925">
        <w:t>(7%)</w:t>
      </w:r>
    </w:p>
    <w:p w:rsidR="00D4431E" w:rsidRDefault="00A1793B" w:rsidP="000634D6">
      <w:r w:rsidRPr="00D4431E">
        <w:t>Requester abandoned or failed to pay:  45</w:t>
      </w:r>
      <w:r w:rsidR="00196481" w:rsidRPr="00D4431E">
        <w:t xml:space="preserve"> </w:t>
      </w:r>
      <w:r w:rsidR="002F3925">
        <w:t>(1%)</w:t>
      </w:r>
    </w:p>
    <w:p w:rsidR="00471197" w:rsidRDefault="00471197" w:rsidP="000634D6"/>
    <w:p w:rsidR="002F3925" w:rsidRDefault="002F3925" w:rsidP="000634D6">
      <w:r w:rsidRPr="002F3925">
        <w:rPr>
          <w:b/>
        </w:rPr>
        <w:t>Note 2:</w:t>
      </w:r>
      <w:r>
        <w:t xml:space="preserve">  The results appear to have been skewed by one agency, which reported that of its 2</w:t>
      </w:r>
      <w:r w:rsidR="00471197">
        <w:t>,</w:t>
      </w:r>
      <w:r>
        <w:t xml:space="preserve">597 completed requests, it was unable to respond to 1,787 requests and 233 were withdrawn.  When this agency’s figures are subtracted, then the </w:t>
      </w:r>
      <w:r w:rsidR="008A7B24">
        <w:t xml:space="preserve">778 requests completed by </w:t>
      </w:r>
      <w:r>
        <w:t xml:space="preserve">all other agencies </w:t>
      </w:r>
      <w:r w:rsidR="008A7B24">
        <w:t xml:space="preserve">were resolved </w:t>
      </w:r>
      <w:r>
        <w:t>as follows</w:t>
      </w:r>
      <w:r w:rsidR="00CF73B3">
        <w:t xml:space="preserve">, as shown in </w:t>
      </w:r>
      <w:r w:rsidR="00CF73B3" w:rsidRPr="00CF73B3">
        <w:rPr>
          <w:b/>
        </w:rPr>
        <w:t>Chart 4B</w:t>
      </w:r>
      <w:r>
        <w:t>:</w:t>
      </w:r>
    </w:p>
    <w:p w:rsidR="002F3925" w:rsidRDefault="002F3925" w:rsidP="002F3925">
      <w:r w:rsidRPr="00D4431E">
        <w:t xml:space="preserve">Requests granted in full:  </w:t>
      </w:r>
      <w:r w:rsidR="00CF73B3">
        <w:t>459</w:t>
      </w:r>
      <w:r w:rsidRPr="00D4431E">
        <w:t xml:space="preserve"> </w:t>
      </w:r>
      <w:r>
        <w:t>(</w:t>
      </w:r>
      <w:r w:rsidR="008A7B24">
        <w:t>59</w:t>
      </w:r>
      <w:r>
        <w:t>%</w:t>
      </w:r>
      <w:r w:rsidR="008A7B24">
        <w:t xml:space="preserve"> of 778 requests</w:t>
      </w:r>
      <w:r>
        <w:t>)</w:t>
      </w:r>
    </w:p>
    <w:p w:rsidR="002F3925" w:rsidRPr="00D4431E" w:rsidRDefault="002F3925" w:rsidP="002F3925">
      <w:r w:rsidRPr="00D4431E">
        <w:t xml:space="preserve">Requests denied in full:  </w:t>
      </w:r>
      <w:r w:rsidR="00CF73B3">
        <w:t>32</w:t>
      </w:r>
      <w:r w:rsidRPr="00D4431E">
        <w:t xml:space="preserve"> </w:t>
      </w:r>
      <w:r>
        <w:t>(</w:t>
      </w:r>
      <w:r w:rsidR="00CF73B3">
        <w:t>4.1</w:t>
      </w:r>
      <w:r>
        <w:t>%)</w:t>
      </w:r>
    </w:p>
    <w:p w:rsidR="002F3925" w:rsidRPr="00D4431E" w:rsidRDefault="002F3925" w:rsidP="002F3925">
      <w:r w:rsidRPr="00D4431E">
        <w:t>Requests denied in part:  1</w:t>
      </w:r>
      <w:r w:rsidR="00CF73B3">
        <w:t>29</w:t>
      </w:r>
      <w:r w:rsidRPr="00D4431E">
        <w:t xml:space="preserve"> </w:t>
      </w:r>
      <w:r>
        <w:t>(</w:t>
      </w:r>
      <w:r w:rsidR="00CF73B3">
        <w:t>16.6</w:t>
      </w:r>
      <w:r>
        <w:t>%)</w:t>
      </w:r>
    </w:p>
    <w:p w:rsidR="002F3925" w:rsidRPr="00D4431E" w:rsidRDefault="002F3925" w:rsidP="002F3925">
      <w:r w:rsidRPr="00D4431E">
        <w:t xml:space="preserve">Agency ultimately unable to respond to request:  </w:t>
      </w:r>
      <w:r w:rsidR="00CF73B3">
        <w:t>105</w:t>
      </w:r>
      <w:r w:rsidRPr="00D4431E">
        <w:t xml:space="preserve"> </w:t>
      </w:r>
      <w:r>
        <w:t>(</w:t>
      </w:r>
      <w:r w:rsidR="00CF73B3">
        <w:t>13.5</w:t>
      </w:r>
      <w:r>
        <w:t>%)</w:t>
      </w:r>
    </w:p>
    <w:p w:rsidR="002F3925" w:rsidRPr="00D4431E" w:rsidRDefault="002F3925" w:rsidP="002F3925">
      <w:r w:rsidRPr="00D4431E">
        <w:t xml:space="preserve">Requester withdrew: </w:t>
      </w:r>
      <w:r w:rsidR="00CF73B3">
        <w:t>8</w:t>
      </w:r>
      <w:r w:rsidRPr="00D4431E">
        <w:t xml:space="preserve"> </w:t>
      </w:r>
      <w:r>
        <w:t>(</w:t>
      </w:r>
      <w:r w:rsidR="00CF73B3">
        <w:t>1.0</w:t>
      </w:r>
      <w:r>
        <w:t>%)</w:t>
      </w:r>
    </w:p>
    <w:p w:rsidR="002F3925" w:rsidRDefault="002F3925" w:rsidP="002F3925">
      <w:r w:rsidRPr="00D4431E">
        <w:t>Requester abandoned or failed to pay:  4</w:t>
      </w:r>
      <w:r w:rsidR="00CF73B3">
        <w:t>0</w:t>
      </w:r>
      <w:r w:rsidRPr="00D4431E">
        <w:t xml:space="preserve"> </w:t>
      </w:r>
      <w:r>
        <w:t>(</w:t>
      </w:r>
      <w:r w:rsidR="00CF73B3">
        <w:t>5.</w:t>
      </w:r>
      <w:r>
        <w:t>1%)</w:t>
      </w:r>
    </w:p>
    <w:p w:rsidR="00737F23" w:rsidRPr="00737F23" w:rsidRDefault="00737F23" w:rsidP="000634D6">
      <w:pPr>
        <w:rPr>
          <w:b/>
        </w:rPr>
      </w:pPr>
      <w:r>
        <w:rPr>
          <w:b/>
        </w:rPr>
        <w:br/>
      </w:r>
      <w:r w:rsidRPr="00737F23">
        <w:rPr>
          <w:b/>
          <w:u w:val="single"/>
        </w:rPr>
        <w:t>SEARCH, REVIEW AND SEGREGATION</w:t>
      </w:r>
      <w:r w:rsidR="008A0EDB">
        <w:rPr>
          <w:b/>
          <w:u w:val="single"/>
        </w:rPr>
        <w:t xml:space="preserve"> (SRS)</w:t>
      </w:r>
      <w:r w:rsidRPr="00737F23">
        <w:rPr>
          <w:b/>
        </w:rPr>
        <w:t>:</w:t>
      </w:r>
    </w:p>
    <w:p w:rsidR="00A1793B" w:rsidRDefault="00737F23" w:rsidP="000634D6">
      <w:r>
        <w:t>Actual search hours:  1,850</w:t>
      </w:r>
    </w:p>
    <w:p w:rsidR="00737F23" w:rsidRDefault="00737F23" w:rsidP="000634D6">
      <w:r>
        <w:t>Actual review and segregation hours:  634</w:t>
      </w:r>
    </w:p>
    <w:p w:rsidR="00737F23" w:rsidRDefault="00737F23" w:rsidP="000634D6">
      <w:r>
        <w:t>Actual legal review hours:  19.75</w:t>
      </w:r>
    </w:p>
    <w:p w:rsidR="00737F23" w:rsidRDefault="008A0EDB" w:rsidP="000634D6">
      <w:r>
        <w:t>Total actual SR</w:t>
      </w:r>
      <w:r w:rsidR="00851A64">
        <w:t>S and legal review hours:  2,503.75</w:t>
      </w:r>
    </w:p>
    <w:p w:rsidR="008A0EDB" w:rsidRDefault="008A0EDB" w:rsidP="000634D6">
      <w:r>
        <w:t>Total GROSS SRS fees incurred:  $30,506.58</w:t>
      </w:r>
    </w:p>
    <w:p w:rsidR="008A0EDB" w:rsidRDefault="008A0EDB" w:rsidP="000634D6">
      <w:r>
        <w:t>Additional response fees incurred but not chargeable:  $232.50</w:t>
      </w:r>
    </w:p>
    <w:p w:rsidR="008A0EDB" w:rsidRPr="00CF73B3" w:rsidRDefault="00471197" w:rsidP="000634D6">
      <w:r>
        <w:t xml:space="preserve">Total # of </w:t>
      </w:r>
      <w:r w:rsidR="008A0EDB" w:rsidRPr="00CF73B3">
        <w:t>$30 fee waivers:  2,815</w:t>
      </w:r>
      <w:r w:rsidR="002B1ED8" w:rsidRPr="00CF73B3">
        <w:t xml:space="preserve"> </w:t>
      </w:r>
      <w:r w:rsidR="00CF73B3" w:rsidRPr="00CF73B3">
        <w:rPr>
          <w:b/>
        </w:rPr>
        <w:t>(Chart 6)</w:t>
      </w:r>
    </w:p>
    <w:p w:rsidR="00CF73B3" w:rsidRDefault="00471197" w:rsidP="000634D6">
      <w:r>
        <w:lastRenderedPageBreak/>
        <w:t xml:space="preserve">Total # of </w:t>
      </w:r>
      <w:r w:rsidR="002B1ED8" w:rsidRPr="00CF73B3">
        <w:t>$60 fee waivers:  53</w:t>
      </w:r>
      <w:r w:rsidR="00CF73B3">
        <w:t xml:space="preserve"> </w:t>
      </w:r>
      <w:r w:rsidR="00CF73B3" w:rsidRPr="00CF73B3">
        <w:rPr>
          <w:b/>
        </w:rPr>
        <w:t>(Chart 6)</w:t>
      </w:r>
    </w:p>
    <w:p w:rsidR="002B1ED8" w:rsidRDefault="00CF73B3" w:rsidP="000634D6">
      <w:proofErr w:type="spellStart"/>
      <w:r>
        <w:t>Nonchargeable</w:t>
      </w:r>
      <w:proofErr w:type="spellEnd"/>
      <w:r>
        <w:t xml:space="preserve"> f</w:t>
      </w:r>
      <w:r w:rsidR="002B1ED8">
        <w:t xml:space="preserve">ees for Personal Records: </w:t>
      </w:r>
      <w:r>
        <w:t>-</w:t>
      </w:r>
      <w:r w:rsidR="002B1ED8">
        <w:t>$575.00</w:t>
      </w:r>
    </w:p>
    <w:p w:rsidR="002B1ED8" w:rsidRDefault="002B1ED8" w:rsidP="000634D6">
      <w:r>
        <w:t>Total NET SRS fees chargeable:  $12,050</w:t>
      </w:r>
    </w:p>
    <w:p w:rsidR="002B1ED8" w:rsidRPr="002B1ED8" w:rsidRDefault="002B1ED8" w:rsidP="000634D6">
      <w:pPr>
        <w:rPr>
          <w:b/>
        </w:rPr>
      </w:pPr>
      <w:r>
        <w:br/>
      </w:r>
      <w:r>
        <w:rPr>
          <w:b/>
          <w:u w:val="single"/>
        </w:rPr>
        <w:t>COPY AND DELIVERY COSTS</w:t>
      </w:r>
      <w:r>
        <w:rPr>
          <w:b/>
        </w:rPr>
        <w:t>:</w:t>
      </w:r>
    </w:p>
    <w:p w:rsidR="00837F1B" w:rsidRDefault="002B1ED8" w:rsidP="000634D6">
      <w:r>
        <w:t>GROSS copy/delivery costs</w:t>
      </w:r>
      <w:r w:rsidR="00194A5E">
        <w:t xml:space="preserve"> incurred:  $</w:t>
      </w:r>
      <w:r w:rsidR="00CF73B3">
        <w:t>5,099.31</w:t>
      </w:r>
    </w:p>
    <w:p w:rsidR="00D9518D" w:rsidRDefault="00837F1B" w:rsidP="00D9518D">
      <w:r>
        <w:t>NET copy/delivery costs charg</w:t>
      </w:r>
      <w:r w:rsidR="00194A5E">
        <w:t>eable to requester:  $</w:t>
      </w:r>
      <w:r w:rsidR="00D9518D">
        <w:t>2,105.41</w:t>
      </w:r>
    </w:p>
    <w:p w:rsidR="00BA0ECB" w:rsidRDefault="00BA0ECB" w:rsidP="000634D6">
      <w:pPr>
        <w:rPr>
          <w:b/>
          <w:u w:val="single"/>
        </w:rPr>
      </w:pPr>
    </w:p>
    <w:p w:rsidR="00837F1B" w:rsidRPr="00837F1B" w:rsidRDefault="00837F1B" w:rsidP="000634D6">
      <w:pPr>
        <w:rPr>
          <w:b/>
        </w:rPr>
      </w:pPr>
      <w:r>
        <w:rPr>
          <w:b/>
          <w:u w:val="single"/>
        </w:rPr>
        <w:t>TOTAL FEES &amp; COSTS</w:t>
      </w:r>
      <w:r>
        <w:rPr>
          <w:b/>
        </w:rPr>
        <w:t>:</w:t>
      </w:r>
    </w:p>
    <w:p w:rsidR="00523943" w:rsidRPr="00D9518D" w:rsidRDefault="00837F1B" w:rsidP="000634D6">
      <w:pPr>
        <w:rPr>
          <w:b/>
        </w:rPr>
      </w:pPr>
      <w:r w:rsidRPr="00D9518D">
        <w:t xml:space="preserve">Total </w:t>
      </w:r>
      <w:r w:rsidR="00523943" w:rsidRPr="00D9518D">
        <w:t>fees and costs actually paid by requesters for all requests:  $2,533.72</w:t>
      </w:r>
      <w:r w:rsidR="00196481" w:rsidRPr="00D9518D">
        <w:t xml:space="preserve"> </w:t>
      </w:r>
      <w:r w:rsidR="00D9518D" w:rsidRPr="00D9518D">
        <w:rPr>
          <w:b/>
        </w:rPr>
        <w:t>(C</w:t>
      </w:r>
      <w:r w:rsidR="00196481" w:rsidRPr="00D9518D">
        <w:rPr>
          <w:b/>
        </w:rPr>
        <w:t>hart 5</w:t>
      </w:r>
      <w:r w:rsidR="00D9518D" w:rsidRPr="00D9518D">
        <w:rPr>
          <w:b/>
        </w:rPr>
        <w:t>)</w:t>
      </w:r>
    </w:p>
    <w:p w:rsidR="00523943" w:rsidRPr="00D9518D" w:rsidRDefault="00523943" w:rsidP="000634D6">
      <w:r w:rsidRPr="00D9518D">
        <w:t>Total NET fees and costs chargeable for all requests:  $1</w:t>
      </w:r>
      <w:r w:rsidR="00D9518D">
        <w:t xml:space="preserve">4,155.41 </w:t>
      </w:r>
    </w:p>
    <w:p w:rsidR="00523943" w:rsidRPr="00D9518D" w:rsidRDefault="00523943" w:rsidP="000634D6">
      <w:pPr>
        <w:rPr>
          <w:b/>
        </w:rPr>
      </w:pPr>
      <w:r w:rsidRPr="00D9518D">
        <w:t>Total GROSS fees and costs agency</w:t>
      </w:r>
      <w:r w:rsidR="00D9518D">
        <w:t xml:space="preserve"> incurred for all requests:  $35,961.44 </w:t>
      </w:r>
      <w:r w:rsidR="00D9518D" w:rsidRPr="00D9518D">
        <w:rPr>
          <w:b/>
        </w:rPr>
        <w:t>(C</w:t>
      </w:r>
      <w:r w:rsidR="00196481" w:rsidRPr="00D9518D">
        <w:rPr>
          <w:b/>
        </w:rPr>
        <w:t>hart 5</w:t>
      </w:r>
      <w:r w:rsidR="00D9518D" w:rsidRPr="00D9518D">
        <w:rPr>
          <w:b/>
        </w:rPr>
        <w:t>)</w:t>
      </w:r>
    </w:p>
    <w:p w:rsidR="00D333D4" w:rsidRDefault="00523943" w:rsidP="00D333D4">
      <w:pPr>
        <w:pStyle w:val="NoSpacing"/>
        <w:rPr>
          <w:b/>
        </w:rPr>
      </w:pPr>
      <w:r w:rsidRPr="00D9518D">
        <w:t>Total GROSS fees an</w:t>
      </w:r>
      <w:r w:rsidR="00BA0ECB">
        <w:t>d costs incurred but not charged</w:t>
      </w:r>
      <w:r w:rsidRPr="00D9518D">
        <w:t xml:space="preserve"> for all requests:  $3</w:t>
      </w:r>
      <w:r w:rsidR="00D9518D">
        <w:t>3,678.32</w:t>
      </w:r>
      <w:r w:rsidR="00D333D4">
        <w:t xml:space="preserve"> </w:t>
      </w:r>
      <w:r w:rsidR="00D333D4" w:rsidRPr="00D333D4">
        <w:rPr>
          <w:b/>
        </w:rPr>
        <w:t>(Chart 5)</w:t>
      </w:r>
    </w:p>
    <w:p w:rsidR="00D333D4" w:rsidRDefault="00D333D4" w:rsidP="00D333D4">
      <w:pPr>
        <w:pStyle w:val="NoSpacing"/>
        <w:rPr>
          <w:b/>
        </w:rPr>
      </w:pPr>
    </w:p>
    <w:p w:rsidR="00D333D4" w:rsidRPr="00D333D4" w:rsidRDefault="00D333D4" w:rsidP="00D333D4">
      <w:pPr>
        <w:pStyle w:val="NoSpacing"/>
      </w:pPr>
      <w:r>
        <w:rPr>
          <w:b/>
        </w:rPr>
        <w:t>Note 3:</w:t>
      </w:r>
      <w:r>
        <w:t xml:space="preserve">  There is an unexplained discrepancy of $250.60.  When $2,533.72 in fees and costs actually paid for all requests is subtracted from </w:t>
      </w:r>
      <w:r w:rsidR="00BA0ECB">
        <w:t>$35,961.44 in</w:t>
      </w:r>
      <w:r>
        <w:t xml:space="preserve"> total gross fees and costs incurred by the a</w:t>
      </w:r>
      <w:r w:rsidR="00BA0ECB">
        <w:t>g</w:t>
      </w:r>
      <w:r>
        <w:t xml:space="preserve">ency, </w:t>
      </w:r>
      <w:r w:rsidR="00BA0ECB">
        <w:t xml:space="preserve">then the </w:t>
      </w:r>
      <w:r w:rsidR="00B4223C">
        <w:t xml:space="preserve">unrecovered amount of </w:t>
      </w:r>
      <w:r w:rsidR="00BA0ECB">
        <w:t>gross fees and costs incurred but not</w:t>
      </w:r>
      <w:r w:rsidR="00B4223C">
        <w:t xml:space="preserve"> charged</w:t>
      </w:r>
      <w:r w:rsidR="00BA0ECB">
        <w:t xml:space="preserve"> </w:t>
      </w:r>
      <w:r w:rsidR="00B4223C">
        <w:t>should be $33,427.77, not $33,678.32</w:t>
      </w:r>
      <w:r w:rsidR="00BA0ECB">
        <w:t>.</w:t>
      </w:r>
    </w:p>
    <w:p w:rsidR="00BA0ECB" w:rsidRDefault="00735D83" w:rsidP="000634D6">
      <w:pPr>
        <w:rPr>
          <w:b/>
          <w:u w:val="single"/>
        </w:rPr>
      </w:pPr>
      <w:r>
        <w:rPr>
          <w:b/>
        </w:rPr>
        <w:br/>
      </w:r>
    </w:p>
    <w:p w:rsidR="00735D83" w:rsidRDefault="009151D4" w:rsidP="000634D6">
      <w:pPr>
        <w:rPr>
          <w:b/>
        </w:rPr>
      </w:pPr>
      <w:r>
        <w:rPr>
          <w:b/>
          <w:u w:val="single"/>
        </w:rPr>
        <w:t xml:space="preserve">COMPLEX </w:t>
      </w:r>
      <w:r w:rsidR="00A63ADD">
        <w:rPr>
          <w:b/>
          <w:u w:val="single"/>
        </w:rPr>
        <w:t xml:space="preserve">vs. </w:t>
      </w:r>
      <w:r w:rsidR="00735D83">
        <w:rPr>
          <w:b/>
          <w:u w:val="single"/>
        </w:rPr>
        <w:t xml:space="preserve">PERSONAL </w:t>
      </w:r>
      <w:r w:rsidR="00A63ADD">
        <w:rPr>
          <w:b/>
          <w:u w:val="single"/>
        </w:rPr>
        <w:t>vs. NONCOMPLEX/NONPERSONAL REQUESTS</w:t>
      </w:r>
      <w:r w:rsidR="00735D83">
        <w:rPr>
          <w:b/>
        </w:rPr>
        <w:t>:</w:t>
      </w:r>
    </w:p>
    <w:p w:rsidR="00523943" w:rsidRDefault="00523943" w:rsidP="000634D6">
      <w:r>
        <w:t>Total NET fees and costs actually paid for COMPLEX requests:  $</w:t>
      </w:r>
      <w:r w:rsidR="00735D83">
        <w:t>445.10</w:t>
      </w:r>
      <w:r w:rsidR="00000CEC">
        <w:t xml:space="preserve"> </w:t>
      </w:r>
      <w:r w:rsidR="00000CEC">
        <w:rPr>
          <w:b/>
        </w:rPr>
        <w:t>(Chart 7)</w:t>
      </w:r>
      <w:r w:rsidR="00000CEC">
        <w:t xml:space="preserve"> </w:t>
      </w:r>
    </w:p>
    <w:p w:rsidR="00000CEC" w:rsidRDefault="00735D83" w:rsidP="00000CEC">
      <w:r>
        <w:t>Total NET fees and costs chargeable for COMPLEX requests:  $2,358.15</w:t>
      </w:r>
      <w:r w:rsidR="00000CEC">
        <w:t xml:space="preserve"> </w:t>
      </w:r>
      <w:r w:rsidR="00000CEC">
        <w:rPr>
          <w:b/>
        </w:rPr>
        <w:t>(Chart 7)</w:t>
      </w:r>
      <w:r w:rsidR="00000CEC">
        <w:t xml:space="preserve"> </w:t>
      </w:r>
    </w:p>
    <w:p w:rsidR="00000CEC" w:rsidRDefault="00735D83" w:rsidP="00000CEC">
      <w:r>
        <w:t>Total GROSS fees and costs incurred for COMPLEX requests:  $3,166.15</w:t>
      </w:r>
      <w:r w:rsidR="00000CEC">
        <w:t xml:space="preserve"> </w:t>
      </w:r>
      <w:r w:rsidR="00471197">
        <w:rPr>
          <w:b/>
        </w:rPr>
        <w:t>C</w:t>
      </w:r>
      <w:r w:rsidR="00471197" w:rsidRPr="00471197">
        <w:rPr>
          <w:b/>
        </w:rPr>
        <w:t>hart 7)</w:t>
      </w:r>
    </w:p>
    <w:p w:rsidR="00735D83" w:rsidRDefault="00735D83" w:rsidP="000634D6">
      <w:r>
        <w:t>Total GROSS fees and costs incurred but not charged for COMPLEX requests:  $2,798.00</w:t>
      </w:r>
    </w:p>
    <w:p w:rsidR="00735D83" w:rsidRPr="00A63ADD" w:rsidRDefault="00735D83" w:rsidP="000634D6">
      <w:pPr>
        <w:rPr>
          <w:b/>
        </w:rPr>
      </w:pPr>
      <w:r>
        <w:t xml:space="preserve"># </w:t>
      </w:r>
      <w:proofErr w:type="gramStart"/>
      <w:r>
        <w:t>of</w:t>
      </w:r>
      <w:proofErr w:type="gramEnd"/>
      <w:r>
        <w:t xml:space="preserve"> workdays to complete ALL requests:  27,104</w:t>
      </w:r>
      <w:r w:rsidR="00471197">
        <w:t xml:space="preserve"> (average 8.03 workdays to complete 3375 requests)</w:t>
      </w:r>
      <w:r w:rsidR="00A63ADD">
        <w:t xml:space="preserve">  </w:t>
      </w:r>
      <w:r w:rsidR="00A63ADD">
        <w:rPr>
          <w:b/>
        </w:rPr>
        <w:t xml:space="preserve">(Chart </w:t>
      </w:r>
      <w:r w:rsidR="00471197">
        <w:rPr>
          <w:b/>
        </w:rPr>
        <w:t>3</w:t>
      </w:r>
      <w:r w:rsidR="00A63ADD">
        <w:rPr>
          <w:b/>
        </w:rPr>
        <w:t>)</w:t>
      </w:r>
    </w:p>
    <w:p w:rsidR="00735D83" w:rsidRPr="00BA0ECB" w:rsidRDefault="00735D83" w:rsidP="000634D6">
      <w:r w:rsidRPr="00BA0ECB">
        <w:t xml:space="preserve"># </w:t>
      </w:r>
      <w:proofErr w:type="gramStart"/>
      <w:r w:rsidRPr="00BA0ECB">
        <w:t>of</w:t>
      </w:r>
      <w:proofErr w:type="gramEnd"/>
      <w:r w:rsidRPr="00BA0ECB">
        <w:t xml:space="preserve"> workdays to complete NONCOMPLEX, NONPERSONAL requests:  25,808</w:t>
      </w:r>
      <w:r w:rsidR="002A318B">
        <w:t xml:space="preserve"> </w:t>
      </w:r>
      <w:r w:rsidR="002A318B">
        <w:br/>
        <w:t xml:space="preserve">(average 7.97 </w:t>
      </w:r>
      <w:r w:rsidR="009151D4" w:rsidRPr="00BA0ECB">
        <w:t>workdays</w:t>
      </w:r>
      <w:r w:rsidR="00471197">
        <w:t xml:space="preserve"> to complete 3,236 requests</w:t>
      </w:r>
      <w:r w:rsidR="009151D4" w:rsidRPr="00BA0ECB">
        <w:t>)</w:t>
      </w:r>
      <w:r w:rsidR="00196481" w:rsidRPr="00BA0ECB">
        <w:t xml:space="preserve"> </w:t>
      </w:r>
      <w:r w:rsidR="00471197">
        <w:rPr>
          <w:b/>
        </w:rPr>
        <w:t>(Chart 3</w:t>
      </w:r>
      <w:r w:rsidR="00A63ADD">
        <w:rPr>
          <w:b/>
        </w:rPr>
        <w:t>)</w:t>
      </w:r>
    </w:p>
    <w:p w:rsidR="00471197" w:rsidRPr="00BA0ECB" w:rsidRDefault="00471197" w:rsidP="00471197">
      <w:r w:rsidRPr="00BA0ECB">
        <w:t xml:space="preserve"># </w:t>
      </w:r>
      <w:proofErr w:type="gramStart"/>
      <w:r w:rsidRPr="00BA0ECB">
        <w:t>of</w:t>
      </w:r>
      <w:proofErr w:type="gramEnd"/>
      <w:r w:rsidRPr="00BA0ECB">
        <w:t xml:space="preserve"> workdays to complete COMPLEX requests:  739 (average 15.7 workdays</w:t>
      </w:r>
      <w:r>
        <w:t xml:space="preserve"> to complete 47 complex requests</w:t>
      </w:r>
      <w:r w:rsidRPr="00BA0ECB">
        <w:t>)</w:t>
      </w:r>
      <w:r w:rsidRPr="00A63ADD">
        <w:rPr>
          <w:b/>
        </w:rPr>
        <w:t xml:space="preserve"> </w:t>
      </w:r>
      <w:r>
        <w:rPr>
          <w:b/>
        </w:rPr>
        <w:t>(Chart 3)</w:t>
      </w:r>
    </w:p>
    <w:p w:rsidR="00735D83" w:rsidRPr="00BA0ECB" w:rsidRDefault="00735D83" w:rsidP="000634D6">
      <w:r w:rsidRPr="00BA0ECB">
        <w:t xml:space="preserve"># </w:t>
      </w:r>
      <w:proofErr w:type="gramStart"/>
      <w:r w:rsidRPr="00BA0ECB">
        <w:t>of</w:t>
      </w:r>
      <w:proofErr w:type="gramEnd"/>
      <w:r w:rsidRPr="00BA0ECB">
        <w:t xml:space="preserve"> workdays to complete PERSONAL requests:  559 (average 6.07 workdays</w:t>
      </w:r>
      <w:r w:rsidR="00471197">
        <w:t xml:space="preserve"> to complete 92 requests</w:t>
      </w:r>
      <w:r w:rsidRPr="00BA0ECB">
        <w:t>)</w:t>
      </w:r>
      <w:r w:rsidR="00A63ADD">
        <w:t xml:space="preserve"> </w:t>
      </w:r>
      <w:r w:rsidR="00471197">
        <w:rPr>
          <w:b/>
        </w:rPr>
        <w:t>(Chart 3</w:t>
      </w:r>
      <w:r w:rsidR="00A63ADD">
        <w:rPr>
          <w:b/>
        </w:rPr>
        <w:t>)</w:t>
      </w:r>
      <w:r w:rsidR="00A63ADD">
        <w:t xml:space="preserve"> </w:t>
      </w:r>
    </w:p>
    <w:p w:rsidR="00CE389D" w:rsidRPr="00BA0ECB" w:rsidRDefault="00CE389D" w:rsidP="000634D6">
      <w:r w:rsidRPr="00BA0ECB">
        <w:t xml:space="preserve"># of </w:t>
      </w:r>
      <w:r w:rsidRPr="00BA0ECB">
        <w:rPr>
          <w:u w:val="single"/>
        </w:rPr>
        <w:t>search</w:t>
      </w:r>
      <w:r w:rsidRPr="00BA0ECB">
        <w:t xml:space="preserve"> hours incurred for ALL requests:  1,850 (average .54 hours)</w:t>
      </w:r>
      <w:r w:rsidR="00A63ADD">
        <w:t xml:space="preserve"> </w:t>
      </w:r>
      <w:r w:rsidR="00A63ADD">
        <w:rPr>
          <w:b/>
        </w:rPr>
        <w:t>(Chart 8)</w:t>
      </w:r>
    </w:p>
    <w:p w:rsidR="00CE389D" w:rsidRPr="00BA0ECB" w:rsidRDefault="00CE389D" w:rsidP="000634D6">
      <w:r w:rsidRPr="00BA0ECB">
        <w:t xml:space="preserve"># of </w:t>
      </w:r>
      <w:r w:rsidRPr="00BA0ECB">
        <w:rPr>
          <w:u w:val="single"/>
        </w:rPr>
        <w:t>search</w:t>
      </w:r>
      <w:r w:rsidRPr="00BA0ECB">
        <w:t xml:space="preserve"> hours incurred for COMPLEX requests:  102.5 (average 2.18 hours)</w:t>
      </w:r>
      <w:r w:rsidR="00A63ADD">
        <w:t xml:space="preserve"> </w:t>
      </w:r>
      <w:r w:rsidR="00A63ADD">
        <w:rPr>
          <w:b/>
        </w:rPr>
        <w:t>(Chart 8)</w:t>
      </w:r>
    </w:p>
    <w:p w:rsidR="00CE389D" w:rsidRPr="00BA0ECB" w:rsidRDefault="00CE389D" w:rsidP="000634D6">
      <w:r w:rsidRPr="00BA0ECB">
        <w:t xml:space="preserve"># </w:t>
      </w:r>
      <w:proofErr w:type="gramStart"/>
      <w:r w:rsidRPr="00BA0ECB">
        <w:t>of</w:t>
      </w:r>
      <w:proofErr w:type="gramEnd"/>
      <w:r w:rsidRPr="00BA0ECB">
        <w:t xml:space="preserve"> </w:t>
      </w:r>
      <w:r w:rsidRPr="00BA0ECB">
        <w:rPr>
          <w:u w:val="single"/>
        </w:rPr>
        <w:t>search</w:t>
      </w:r>
      <w:r w:rsidRPr="00BA0ECB">
        <w:t xml:space="preserve"> hours incurred for NONCOMPLEX, NONPERSONAL requests:  </w:t>
      </w:r>
      <w:r w:rsidR="00D9489B" w:rsidRPr="00BA0ECB">
        <w:br/>
        <w:t>(average .52 hours)</w:t>
      </w:r>
      <w:r w:rsidR="00A63ADD">
        <w:t xml:space="preserve">  </w:t>
      </w:r>
      <w:r w:rsidR="00A63ADD">
        <w:rPr>
          <w:b/>
        </w:rPr>
        <w:t>(Chart 8)</w:t>
      </w:r>
    </w:p>
    <w:p w:rsidR="00D9489B" w:rsidRPr="00BA0ECB" w:rsidRDefault="00D9489B" w:rsidP="000634D6">
      <w:r w:rsidRPr="00BA0ECB">
        <w:t xml:space="preserve"># of </w:t>
      </w:r>
      <w:r w:rsidRPr="00BA0ECB">
        <w:rPr>
          <w:u w:val="single"/>
        </w:rPr>
        <w:t>search</w:t>
      </w:r>
      <w:r w:rsidRPr="00BA0ECB">
        <w:t xml:space="preserve"> hours incurred for PERSONAL requests: </w:t>
      </w:r>
      <w:r w:rsidR="000350EE" w:rsidRPr="00BA0ECB">
        <w:t xml:space="preserve"> </w:t>
      </w:r>
      <w:r w:rsidRPr="00BA0ECB">
        <w:t xml:space="preserve">33.25 (average </w:t>
      </w:r>
      <w:r w:rsidR="000350EE" w:rsidRPr="00BA0ECB">
        <w:t>.36 hours)</w:t>
      </w:r>
      <w:r w:rsidR="00A63ADD">
        <w:t xml:space="preserve"> </w:t>
      </w:r>
      <w:r w:rsidR="00A63ADD">
        <w:rPr>
          <w:b/>
        </w:rPr>
        <w:t>(Chart 8)</w:t>
      </w:r>
      <w:r w:rsidR="00A63ADD">
        <w:t xml:space="preserve"> </w:t>
      </w:r>
    </w:p>
    <w:p w:rsidR="000350EE" w:rsidRPr="00BA0ECB" w:rsidRDefault="000350EE" w:rsidP="000634D6">
      <w:r w:rsidRPr="00BA0ECB">
        <w:t xml:space="preserve"># of </w:t>
      </w:r>
      <w:r w:rsidRPr="00BA0ECB">
        <w:rPr>
          <w:u w:val="single"/>
        </w:rPr>
        <w:t>review and segregation</w:t>
      </w:r>
      <w:r w:rsidRPr="00BA0ECB">
        <w:t xml:space="preserve"> hours incurred for ALL requests:  </w:t>
      </w:r>
      <w:r w:rsidR="009A5DB5" w:rsidRPr="00BA0ECB">
        <w:t>634 (average .18 hours)</w:t>
      </w:r>
      <w:r w:rsidR="00A63ADD">
        <w:t xml:space="preserve"> </w:t>
      </w:r>
      <w:r w:rsidR="00A63ADD">
        <w:rPr>
          <w:b/>
        </w:rPr>
        <w:t>(Chart 8)</w:t>
      </w:r>
    </w:p>
    <w:p w:rsidR="009A5DB5" w:rsidRPr="00A63ADD" w:rsidRDefault="009A5DB5" w:rsidP="000634D6">
      <w:r w:rsidRPr="00A63ADD">
        <w:t xml:space="preserve"># of </w:t>
      </w:r>
      <w:r w:rsidRPr="00A63ADD">
        <w:rPr>
          <w:u w:val="single"/>
        </w:rPr>
        <w:t>review and segregation</w:t>
      </w:r>
      <w:r w:rsidRPr="00A63ADD">
        <w:t xml:space="preserve"> hours incurred for COMPLEX requests:  99 (average 2.1 hours)</w:t>
      </w:r>
      <w:r w:rsidR="00A63ADD">
        <w:t xml:space="preserve"> </w:t>
      </w:r>
      <w:r w:rsidR="00A63ADD">
        <w:rPr>
          <w:b/>
        </w:rPr>
        <w:t>(Chart 8)</w:t>
      </w:r>
      <w:r w:rsidR="00A63ADD">
        <w:t xml:space="preserve"> </w:t>
      </w:r>
    </w:p>
    <w:p w:rsidR="009A5DB5" w:rsidRPr="00A63ADD" w:rsidRDefault="009A5DB5" w:rsidP="000634D6">
      <w:r w:rsidRPr="00A63ADD">
        <w:t xml:space="preserve"># of </w:t>
      </w:r>
      <w:r w:rsidRPr="00A63ADD">
        <w:rPr>
          <w:u w:val="single"/>
        </w:rPr>
        <w:t>review and segregation</w:t>
      </w:r>
      <w:r w:rsidRPr="00A63ADD">
        <w:t xml:space="preserve"> hours incurred for NONCOMPLEX, NON PERSONAL requests: </w:t>
      </w:r>
      <w:proofErr w:type="gramStart"/>
      <w:r w:rsidRPr="00A63ADD">
        <w:t xml:space="preserve">518 </w:t>
      </w:r>
      <w:r w:rsidR="00A63ADD">
        <w:t xml:space="preserve"> </w:t>
      </w:r>
      <w:r w:rsidRPr="00A63ADD">
        <w:t>(</w:t>
      </w:r>
      <w:proofErr w:type="gramEnd"/>
      <w:r w:rsidRPr="00A63ADD">
        <w:t>average .15 hours)</w:t>
      </w:r>
      <w:r w:rsidR="00A63ADD">
        <w:t xml:space="preserve">  </w:t>
      </w:r>
      <w:r w:rsidR="00A63ADD">
        <w:rPr>
          <w:b/>
        </w:rPr>
        <w:t>(Chart 8)</w:t>
      </w:r>
    </w:p>
    <w:p w:rsidR="00FD1480" w:rsidRDefault="009A5DB5" w:rsidP="000634D6">
      <w:pPr>
        <w:rPr>
          <w:b/>
        </w:rPr>
      </w:pPr>
      <w:r w:rsidRPr="00A63ADD">
        <w:t xml:space="preserve"># of </w:t>
      </w:r>
      <w:r w:rsidRPr="00A63ADD">
        <w:rPr>
          <w:u w:val="single"/>
        </w:rPr>
        <w:t>review and segregation</w:t>
      </w:r>
      <w:r w:rsidRPr="00A63ADD">
        <w:t xml:space="preserve"> hours incurred for PERSONAL requests: 17.5 </w:t>
      </w:r>
      <w:r w:rsidRPr="00A63ADD">
        <w:br/>
        <w:t>(average .19 hours</w:t>
      </w:r>
      <w:proofErr w:type="gramStart"/>
      <w:r w:rsidRPr="00A63ADD">
        <w:t>)</w:t>
      </w:r>
      <w:r w:rsidR="00A63ADD">
        <w:t xml:space="preserve">  </w:t>
      </w:r>
      <w:r w:rsidR="00A63ADD">
        <w:rPr>
          <w:b/>
        </w:rPr>
        <w:t>(</w:t>
      </w:r>
      <w:proofErr w:type="gramEnd"/>
      <w:r w:rsidR="00A63ADD">
        <w:rPr>
          <w:b/>
        </w:rPr>
        <w:t>Chart 8)</w:t>
      </w:r>
    </w:p>
    <w:p w:rsidR="00FD1480" w:rsidRDefault="00FD1480">
      <w:pPr>
        <w:rPr>
          <w:b/>
        </w:rPr>
      </w:pPr>
      <w:r>
        <w:rPr>
          <w:b/>
        </w:rPr>
        <w:br w:type="page"/>
      </w:r>
    </w:p>
    <w:p w:rsidR="00FD1480" w:rsidRDefault="00FD1480" w:rsidP="00FD1480">
      <w:pPr>
        <w:jc w:val="center"/>
      </w:pPr>
      <w:r w:rsidRPr="003B573E">
        <w:drawing>
          <wp:inline distT="0" distB="0" distL="0" distR="0">
            <wp:extent cx="4572000" cy="2743200"/>
            <wp:effectExtent l="19050" t="0" r="19050" b="0"/>
            <wp:docPr id="29"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FD1480" w:rsidRDefault="00FD1480" w:rsidP="00FD1480">
      <w:pPr>
        <w:jc w:val="center"/>
        <w:rPr>
          <w:b/>
          <w:sz w:val="28"/>
          <w:szCs w:val="28"/>
        </w:rPr>
      </w:pPr>
      <w:r w:rsidRPr="00A374A8">
        <w:rPr>
          <w:b/>
          <w:sz w:val="28"/>
          <w:szCs w:val="28"/>
        </w:rPr>
        <w:t>Chart 1</w:t>
      </w:r>
    </w:p>
    <w:p w:rsidR="00FD1480" w:rsidRDefault="00FD1480" w:rsidP="00FD1480">
      <w:pPr>
        <w:jc w:val="center"/>
        <w:rPr>
          <w:b/>
          <w:sz w:val="28"/>
          <w:szCs w:val="28"/>
        </w:rPr>
      </w:pPr>
    </w:p>
    <w:p w:rsidR="00FD1480" w:rsidRDefault="00FD1480" w:rsidP="00FD1480">
      <w:r>
        <w:t>Description of Chart:</w:t>
      </w:r>
    </w:p>
    <w:p w:rsidR="00FD1480" w:rsidRPr="003511A6" w:rsidRDefault="00FD1480" w:rsidP="00FD1480">
      <w:pPr>
        <w:pStyle w:val="ListParagraph"/>
        <w:rPr>
          <w:b/>
        </w:rPr>
      </w:pPr>
      <w:r w:rsidRPr="003511A6">
        <w:rPr>
          <w:b/>
        </w:rPr>
        <w:t>FORMAL UIPA REQUESTS AND ROUTINE REQUESTS:</w:t>
      </w:r>
    </w:p>
    <w:p w:rsidR="00FD1480" w:rsidRPr="003511A6" w:rsidRDefault="00FD1480" w:rsidP="00FD1480">
      <w:pPr>
        <w:pStyle w:val="ListParagraph"/>
        <w:rPr>
          <w:b/>
        </w:rPr>
      </w:pPr>
      <w:r w:rsidRPr="003511A6">
        <w:rPr>
          <w:b/>
        </w:rPr>
        <w:t>Pie chart showing 553,836 routine requests and 3,414 formal UIPA requests</w:t>
      </w:r>
    </w:p>
    <w:p w:rsidR="00FD1480" w:rsidRDefault="00FD1480" w:rsidP="00FD1480"/>
    <w:p w:rsidR="00FD1480" w:rsidRDefault="00FD1480" w:rsidP="00FD1480">
      <w:r>
        <w:br w:type="page"/>
      </w:r>
    </w:p>
    <w:p w:rsidR="00FD1480" w:rsidRDefault="00FD1480" w:rsidP="00FD1480"/>
    <w:p w:rsidR="00FD1480" w:rsidRDefault="00FD1480" w:rsidP="00FD1480">
      <w:r w:rsidRPr="003B573E">
        <w:drawing>
          <wp:inline distT="0" distB="0" distL="0" distR="0">
            <wp:extent cx="5781675" cy="3267075"/>
            <wp:effectExtent l="57150" t="19050" r="28575" b="0"/>
            <wp:docPr id="30"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FD1480" w:rsidRDefault="00FD1480" w:rsidP="00FD1480">
      <w:pPr>
        <w:jc w:val="center"/>
        <w:rPr>
          <w:b/>
          <w:sz w:val="28"/>
          <w:szCs w:val="28"/>
        </w:rPr>
      </w:pPr>
      <w:r>
        <w:rPr>
          <w:b/>
          <w:sz w:val="28"/>
          <w:szCs w:val="28"/>
        </w:rPr>
        <w:t>Chart 2</w:t>
      </w:r>
    </w:p>
    <w:p w:rsidR="00FD1480" w:rsidRDefault="00FD1480" w:rsidP="00FD1480">
      <w:pPr>
        <w:jc w:val="center"/>
        <w:rPr>
          <w:b/>
          <w:sz w:val="28"/>
          <w:szCs w:val="28"/>
        </w:rPr>
      </w:pPr>
    </w:p>
    <w:p w:rsidR="00FD1480" w:rsidRDefault="00FD1480" w:rsidP="00FD1480">
      <w:r>
        <w:t>Description of Chart:</w:t>
      </w:r>
    </w:p>
    <w:p w:rsidR="00FD1480" w:rsidRPr="003511A6" w:rsidRDefault="00FD1480" w:rsidP="00FD1480">
      <w:pPr>
        <w:pStyle w:val="ListParagraph"/>
        <w:rPr>
          <w:b/>
        </w:rPr>
      </w:pPr>
      <w:r w:rsidRPr="003511A6">
        <w:rPr>
          <w:b/>
        </w:rPr>
        <w:t>REQUESTS COMPLETED</w:t>
      </w:r>
    </w:p>
    <w:p w:rsidR="00FD1480" w:rsidRPr="003511A6" w:rsidRDefault="00FD1480" w:rsidP="00FD1480">
      <w:pPr>
        <w:pStyle w:val="ListParagraph"/>
        <w:rPr>
          <w:b/>
        </w:rPr>
      </w:pPr>
      <w:r w:rsidRPr="003511A6">
        <w:rPr>
          <w:b/>
        </w:rPr>
        <w:t>Pie chart showing 3,375 requests completed (98.8% of 3,414 total requests) and 39 not completed</w:t>
      </w:r>
      <w:r>
        <w:rPr>
          <w:b/>
        </w:rPr>
        <w:t xml:space="preserve"> (1.2%)</w:t>
      </w:r>
    </w:p>
    <w:p w:rsidR="00FD1480" w:rsidRDefault="00FD1480" w:rsidP="00FD1480"/>
    <w:p w:rsidR="00FD1480" w:rsidRDefault="00FD1480" w:rsidP="00FD1480"/>
    <w:p w:rsidR="00FD1480" w:rsidRDefault="00FD1480" w:rsidP="00FD1480">
      <w:r>
        <w:br w:type="page"/>
      </w:r>
    </w:p>
    <w:p w:rsidR="00FD1480" w:rsidRDefault="00FD1480" w:rsidP="00FD1480">
      <w:pPr>
        <w:jc w:val="center"/>
      </w:pPr>
      <w:r w:rsidRPr="007705C3">
        <w:drawing>
          <wp:inline distT="0" distB="0" distL="0" distR="0">
            <wp:extent cx="4791075" cy="2743200"/>
            <wp:effectExtent l="19050" t="0" r="9525" b="0"/>
            <wp:docPr id="31"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FD1480" w:rsidRDefault="00FD1480" w:rsidP="00FD1480">
      <w:pPr>
        <w:jc w:val="center"/>
        <w:rPr>
          <w:b/>
          <w:sz w:val="28"/>
          <w:szCs w:val="28"/>
        </w:rPr>
      </w:pPr>
      <w:r>
        <w:rPr>
          <w:b/>
          <w:sz w:val="28"/>
          <w:szCs w:val="28"/>
        </w:rPr>
        <w:t>Chart 3</w:t>
      </w:r>
    </w:p>
    <w:p w:rsidR="00FD1480" w:rsidRDefault="00FD1480" w:rsidP="00FD1480">
      <w:pPr>
        <w:jc w:val="center"/>
        <w:rPr>
          <w:b/>
          <w:sz w:val="28"/>
          <w:szCs w:val="28"/>
        </w:rPr>
      </w:pPr>
    </w:p>
    <w:p w:rsidR="00FD1480" w:rsidRDefault="00FD1480" w:rsidP="00FD1480">
      <w:r>
        <w:t>Description of Chart:</w:t>
      </w:r>
    </w:p>
    <w:p w:rsidR="00FD1480" w:rsidRPr="003511A6" w:rsidRDefault="00FD1480" w:rsidP="00FD1480">
      <w:pPr>
        <w:pStyle w:val="ListParagraph"/>
        <w:rPr>
          <w:b/>
        </w:rPr>
      </w:pPr>
      <w:r w:rsidRPr="003511A6">
        <w:rPr>
          <w:b/>
        </w:rPr>
        <w:t>WORKDAYS TO COMPLETION</w:t>
      </w:r>
    </w:p>
    <w:p w:rsidR="00FD1480" w:rsidRPr="003511A6" w:rsidRDefault="00FD1480" w:rsidP="00FD1480">
      <w:pPr>
        <w:pStyle w:val="ListParagraph"/>
        <w:rPr>
          <w:b/>
        </w:rPr>
      </w:pPr>
      <w:r w:rsidRPr="003511A6">
        <w:rPr>
          <w:b/>
        </w:rPr>
        <w:t>Bar graph showing the average number of workdays to complete requests:</w:t>
      </w:r>
    </w:p>
    <w:p w:rsidR="00FD1480" w:rsidRPr="003511A6" w:rsidRDefault="00FD1480" w:rsidP="00FD1480">
      <w:pPr>
        <w:pStyle w:val="ListParagraph"/>
        <w:rPr>
          <w:b/>
        </w:rPr>
      </w:pPr>
      <w:r w:rsidRPr="003511A6">
        <w:rPr>
          <w:b/>
        </w:rPr>
        <w:tab/>
        <w:t xml:space="preserve">8.03 </w:t>
      </w:r>
      <w:proofErr w:type="gramStart"/>
      <w:r w:rsidRPr="003511A6">
        <w:rPr>
          <w:b/>
        </w:rPr>
        <w:t>for</w:t>
      </w:r>
      <w:proofErr w:type="gramEnd"/>
      <w:r w:rsidRPr="003511A6">
        <w:rPr>
          <w:b/>
        </w:rPr>
        <w:t xml:space="preserve"> all requests</w:t>
      </w:r>
    </w:p>
    <w:p w:rsidR="00FD1480" w:rsidRPr="003511A6" w:rsidRDefault="00FD1480" w:rsidP="00FD1480">
      <w:pPr>
        <w:pStyle w:val="ListParagraph"/>
        <w:rPr>
          <w:b/>
        </w:rPr>
      </w:pPr>
      <w:r w:rsidRPr="003511A6">
        <w:rPr>
          <w:b/>
        </w:rPr>
        <w:tab/>
        <w:t>7.9</w:t>
      </w:r>
      <w:r>
        <w:rPr>
          <w:b/>
        </w:rPr>
        <w:t>7</w:t>
      </w:r>
      <w:r w:rsidRPr="003511A6">
        <w:rPr>
          <w:b/>
        </w:rPr>
        <w:t xml:space="preserve"> for noncomplex, </w:t>
      </w:r>
      <w:proofErr w:type="spellStart"/>
      <w:r w:rsidRPr="003511A6">
        <w:rPr>
          <w:b/>
        </w:rPr>
        <w:t>nonpersonal</w:t>
      </w:r>
      <w:proofErr w:type="spellEnd"/>
      <w:r w:rsidRPr="003511A6">
        <w:rPr>
          <w:b/>
        </w:rPr>
        <w:t xml:space="preserve"> record request</w:t>
      </w:r>
    </w:p>
    <w:p w:rsidR="00FD1480" w:rsidRPr="003511A6" w:rsidRDefault="00FD1480" w:rsidP="00FD1480">
      <w:pPr>
        <w:pStyle w:val="ListParagraph"/>
        <w:rPr>
          <w:b/>
        </w:rPr>
      </w:pPr>
      <w:r w:rsidRPr="003511A6">
        <w:rPr>
          <w:b/>
        </w:rPr>
        <w:tab/>
        <w:t xml:space="preserve">6.07 </w:t>
      </w:r>
      <w:proofErr w:type="gramStart"/>
      <w:r w:rsidRPr="003511A6">
        <w:rPr>
          <w:b/>
        </w:rPr>
        <w:t>for</w:t>
      </w:r>
      <w:proofErr w:type="gramEnd"/>
      <w:r w:rsidRPr="003511A6">
        <w:rPr>
          <w:b/>
        </w:rPr>
        <w:t xml:space="preserve"> personal record requests</w:t>
      </w:r>
    </w:p>
    <w:p w:rsidR="00FD1480" w:rsidRPr="003511A6" w:rsidRDefault="00FD1480" w:rsidP="00FD1480">
      <w:pPr>
        <w:pStyle w:val="ListParagraph"/>
        <w:rPr>
          <w:b/>
        </w:rPr>
      </w:pPr>
      <w:r w:rsidRPr="003511A6">
        <w:rPr>
          <w:b/>
        </w:rPr>
        <w:tab/>
        <w:t xml:space="preserve">15.7 </w:t>
      </w:r>
      <w:proofErr w:type="gramStart"/>
      <w:r w:rsidRPr="003511A6">
        <w:rPr>
          <w:b/>
        </w:rPr>
        <w:t>for</w:t>
      </w:r>
      <w:proofErr w:type="gramEnd"/>
      <w:r w:rsidRPr="003511A6">
        <w:rPr>
          <w:b/>
        </w:rPr>
        <w:t xml:space="preserve"> complex requests</w:t>
      </w:r>
    </w:p>
    <w:p w:rsidR="00FD1480" w:rsidRDefault="00FD1480" w:rsidP="00FD1480"/>
    <w:p w:rsidR="00FD1480" w:rsidRDefault="00FD1480" w:rsidP="00FD1480">
      <w:r>
        <w:br w:type="page"/>
      </w:r>
    </w:p>
    <w:p w:rsidR="00FD1480" w:rsidRDefault="00FD1480" w:rsidP="00FD1480">
      <w:pPr>
        <w:jc w:val="center"/>
      </w:pPr>
      <w:r w:rsidRPr="00331DA2">
        <w:drawing>
          <wp:inline distT="0" distB="0" distL="0" distR="0">
            <wp:extent cx="5400675" cy="3686176"/>
            <wp:effectExtent l="19050" t="0" r="9525" b="9524"/>
            <wp:docPr id="32"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FD1480" w:rsidRDefault="00FD1480" w:rsidP="00FD1480">
      <w:pPr>
        <w:jc w:val="center"/>
        <w:rPr>
          <w:b/>
          <w:sz w:val="28"/>
          <w:szCs w:val="28"/>
        </w:rPr>
      </w:pPr>
      <w:r>
        <w:rPr>
          <w:b/>
          <w:sz w:val="28"/>
          <w:szCs w:val="28"/>
        </w:rPr>
        <w:t>Chart 4A</w:t>
      </w:r>
    </w:p>
    <w:p w:rsidR="00FD1480" w:rsidRDefault="00FD1480" w:rsidP="00FD1480">
      <w:pPr>
        <w:jc w:val="center"/>
        <w:rPr>
          <w:b/>
          <w:sz w:val="28"/>
          <w:szCs w:val="28"/>
        </w:rPr>
      </w:pPr>
    </w:p>
    <w:p w:rsidR="00FD1480" w:rsidRDefault="00FD1480" w:rsidP="00FD1480">
      <w:r>
        <w:t>Description of Chart:</w:t>
      </w:r>
    </w:p>
    <w:p w:rsidR="00FD1480" w:rsidRPr="001A5708" w:rsidRDefault="00FD1480" w:rsidP="00FD1480">
      <w:pPr>
        <w:pStyle w:val="ListParagraph"/>
        <w:ind w:hanging="360"/>
        <w:rPr>
          <w:b/>
        </w:rPr>
      </w:pPr>
      <w:r w:rsidRPr="001A5708">
        <w:rPr>
          <w:b/>
        </w:rPr>
        <w:t>RESOLUTION OF 3,</w:t>
      </w:r>
      <w:r>
        <w:rPr>
          <w:b/>
        </w:rPr>
        <w:t xml:space="preserve">375 REQUESTS (including all </w:t>
      </w:r>
      <w:r w:rsidRPr="001A5708">
        <w:rPr>
          <w:b/>
        </w:rPr>
        <w:t>agencies)</w:t>
      </w:r>
    </w:p>
    <w:p w:rsidR="00FD1480" w:rsidRPr="001A5708" w:rsidRDefault="00FD1480" w:rsidP="00FD1480">
      <w:pPr>
        <w:pStyle w:val="ListParagraph"/>
        <w:ind w:hanging="360"/>
        <w:rPr>
          <w:b/>
        </w:rPr>
      </w:pPr>
      <w:r w:rsidRPr="001A5708">
        <w:rPr>
          <w:b/>
        </w:rPr>
        <w:tab/>
        <w:t>Pie chart showing:   1,199 (35.5%) of complete</w:t>
      </w:r>
      <w:r>
        <w:rPr>
          <w:b/>
        </w:rPr>
        <w:t>d requests were granted in full</w:t>
      </w:r>
    </w:p>
    <w:p w:rsidR="00FD1480" w:rsidRPr="001A5708" w:rsidRDefault="00FD1480" w:rsidP="00FD1480">
      <w:pPr>
        <w:pStyle w:val="ListParagraph"/>
        <w:ind w:hanging="360"/>
        <w:rPr>
          <w:b/>
        </w:rPr>
      </w:pPr>
      <w:r w:rsidRPr="001A5708">
        <w:rPr>
          <w:b/>
        </w:rPr>
        <w:tab/>
      </w:r>
      <w:r w:rsidRPr="001A5708">
        <w:rPr>
          <w:b/>
        </w:rPr>
        <w:tab/>
      </w:r>
      <w:r w:rsidRPr="001A5708">
        <w:rPr>
          <w:b/>
        </w:rPr>
        <w:tab/>
        <w:t xml:space="preserve">          </w:t>
      </w:r>
      <w:r>
        <w:rPr>
          <w:b/>
        </w:rPr>
        <w:t xml:space="preserve">  50 (1.5%) were denied in full</w:t>
      </w:r>
    </w:p>
    <w:p w:rsidR="00FD1480" w:rsidRPr="001A5708" w:rsidRDefault="00FD1480" w:rsidP="00FD1480">
      <w:pPr>
        <w:pStyle w:val="ListParagraph"/>
        <w:ind w:hanging="360"/>
        <w:rPr>
          <w:b/>
        </w:rPr>
      </w:pPr>
      <w:r w:rsidRPr="001A5708">
        <w:rPr>
          <w:b/>
        </w:rPr>
        <w:tab/>
      </w:r>
      <w:r w:rsidRPr="001A5708">
        <w:rPr>
          <w:b/>
        </w:rPr>
        <w:tab/>
      </w:r>
      <w:r w:rsidRPr="001A5708">
        <w:rPr>
          <w:b/>
        </w:rPr>
        <w:tab/>
        <w:t xml:space="preserve">         </w:t>
      </w:r>
      <w:r>
        <w:rPr>
          <w:b/>
        </w:rPr>
        <w:t xml:space="preserve"> 153 (4.5%) were denied in part</w:t>
      </w:r>
    </w:p>
    <w:p w:rsidR="00FD1480" w:rsidRPr="001A5708" w:rsidRDefault="00FD1480" w:rsidP="00FD1480">
      <w:pPr>
        <w:pStyle w:val="ListParagraph"/>
        <w:ind w:hanging="360"/>
        <w:rPr>
          <w:b/>
        </w:rPr>
      </w:pPr>
      <w:r w:rsidRPr="001A5708">
        <w:rPr>
          <w:b/>
        </w:rPr>
        <w:tab/>
      </w:r>
      <w:r w:rsidRPr="001A5708">
        <w:rPr>
          <w:b/>
        </w:rPr>
        <w:tab/>
      </w:r>
      <w:r w:rsidRPr="001A5708">
        <w:rPr>
          <w:b/>
        </w:rPr>
        <w:tab/>
        <w:t xml:space="preserve">       1,892 (56%) agency was unabl</w:t>
      </w:r>
      <w:r>
        <w:rPr>
          <w:b/>
        </w:rPr>
        <w:t>e to respond</w:t>
      </w:r>
    </w:p>
    <w:p w:rsidR="00FD1480" w:rsidRPr="001A5708" w:rsidRDefault="00FD1480" w:rsidP="00FD1480">
      <w:pPr>
        <w:pStyle w:val="ListParagraph"/>
        <w:ind w:hanging="360"/>
        <w:rPr>
          <w:b/>
        </w:rPr>
      </w:pPr>
      <w:r w:rsidRPr="001A5708">
        <w:rPr>
          <w:b/>
        </w:rPr>
        <w:t xml:space="preserve"> </w:t>
      </w:r>
      <w:r w:rsidRPr="001A5708">
        <w:rPr>
          <w:b/>
        </w:rPr>
        <w:tab/>
      </w:r>
      <w:r w:rsidRPr="001A5708">
        <w:rPr>
          <w:b/>
        </w:rPr>
        <w:tab/>
      </w:r>
      <w:r w:rsidRPr="001A5708">
        <w:rPr>
          <w:b/>
        </w:rPr>
        <w:tab/>
        <w:t xml:space="preserve">      </w:t>
      </w:r>
      <w:r>
        <w:rPr>
          <w:b/>
        </w:rPr>
        <w:t xml:space="preserve">    241 (7%) requester withdrew</w:t>
      </w:r>
    </w:p>
    <w:p w:rsidR="00FD1480" w:rsidRPr="001A5708" w:rsidRDefault="00FD1480" w:rsidP="00FD1480">
      <w:pPr>
        <w:pStyle w:val="ListParagraph"/>
        <w:ind w:hanging="360"/>
        <w:rPr>
          <w:b/>
        </w:rPr>
      </w:pPr>
      <w:r w:rsidRPr="001A5708">
        <w:rPr>
          <w:b/>
        </w:rPr>
        <w:tab/>
      </w:r>
      <w:r w:rsidRPr="001A5708">
        <w:rPr>
          <w:b/>
        </w:rPr>
        <w:tab/>
      </w:r>
      <w:r w:rsidRPr="001A5708">
        <w:rPr>
          <w:b/>
        </w:rPr>
        <w:tab/>
        <w:t xml:space="preserve">            </w:t>
      </w:r>
      <w:proofErr w:type="gramStart"/>
      <w:r w:rsidRPr="001A5708">
        <w:rPr>
          <w:b/>
        </w:rPr>
        <w:t>45 (1%) requester</w:t>
      </w:r>
      <w:proofErr w:type="gramEnd"/>
      <w:r w:rsidRPr="001A5708">
        <w:rPr>
          <w:b/>
        </w:rPr>
        <w:t xml:space="preserve"> abandoned or failed to pay</w:t>
      </w:r>
    </w:p>
    <w:p w:rsidR="00FD1480" w:rsidRDefault="00FD1480" w:rsidP="00FD1480"/>
    <w:p w:rsidR="00FD1480" w:rsidRDefault="00FD1480" w:rsidP="00FD1480">
      <w:r>
        <w:br w:type="page"/>
      </w:r>
    </w:p>
    <w:p w:rsidR="00FD1480" w:rsidRDefault="00FD1480" w:rsidP="00FD1480">
      <w:pPr>
        <w:jc w:val="center"/>
      </w:pPr>
      <w:r w:rsidRPr="00FB3721">
        <w:drawing>
          <wp:inline distT="0" distB="0" distL="0" distR="0">
            <wp:extent cx="5057775" cy="3295650"/>
            <wp:effectExtent l="19050" t="0" r="9525" b="0"/>
            <wp:docPr id="33"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FD1480" w:rsidRDefault="00FD1480" w:rsidP="00FD1480">
      <w:pPr>
        <w:jc w:val="center"/>
        <w:rPr>
          <w:b/>
          <w:sz w:val="28"/>
          <w:szCs w:val="28"/>
        </w:rPr>
      </w:pPr>
      <w:r>
        <w:rPr>
          <w:b/>
          <w:sz w:val="28"/>
          <w:szCs w:val="28"/>
        </w:rPr>
        <w:t>Chart 4B</w:t>
      </w:r>
    </w:p>
    <w:p w:rsidR="00FD1480" w:rsidRDefault="00FD1480" w:rsidP="00FD1480">
      <w:pPr>
        <w:jc w:val="center"/>
        <w:rPr>
          <w:b/>
          <w:sz w:val="28"/>
          <w:szCs w:val="28"/>
        </w:rPr>
      </w:pPr>
    </w:p>
    <w:p w:rsidR="00FD1480" w:rsidRDefault="00FD1480" w:rsidP="00FD1480">
      <w:r>
        <w:t>Description of Chart:</w:t>
      </w:r>
    </w:p>
    <w:p w:rsidR="00FD1480" w:rsidRPr="001A5708" w:rsidRDefault="00FD1480" w:rsidP="00FD1480">
      <w:pPr>
        <w:pStyle w:val="ListParagraph"/>
        <w:ind w:hanging="360"/>
        <w:rPr>
          <w:b/>
        </w:rPr>
      </w:pPr>
      <w:r w:rsidRPr="001A5708">
        <w:rPr>
          <w:b/>
        </w:rPr>
        <w:t>RESOLUTION OF 778 REQUESTS (</w:t>
      </w:r>
      <w:r>
        <w:rPr>
          <w:b/>
        </w:rPr>
        <w:t>excluding one</w:t>
      </w:r>
      <w:r w:rsidRPr="001A5708">
        <w:rPr>
          <w:b/>
        </w:rPr>
        <w:t xml:space="preserve"> agency)</w:t>
      </w:r>
    </w:p>
    <w:p w:rsidR="00FD1480" w:rsidRPr="001A5708" w:rsidRDefault="00FD1480" w:rsidP="00FD1480">
      <w:pPr>
        <w:pStyle w:val="ListParagraph"/>
        <w:ind w:hanging="360"/>
        <w:rPr>
          <w:b/>
        </w:rPr>
      </w:pPr>
      <w:r w:rsidRPr="001A5708">
        <w:rPr>
          <w:b/>
        </w:rPr>
        <w:tab/>
        <w:t>Pie chart showing:     459 (59%) of completed requests were granted in fu</w:t>
      </w:r>
      <w:r>
        <w:rPr>
          <w:b/>
        </w:rPr>
        <w:t>ll</w:t>
      </w:r>
    </w:p>
    <w:p w:rsidR="00FD1480" w:rsidRPr="001A5708" w:rsidRDefault="00FD1480" w:rsidP="00FD1480">
      <w:pPr>
        <w:pStyle w:val="ListParagraph"/>
        <w:ind w:hanging="360"/>
        <w:rPr>
          <w:b/>
        </w:rPr>
      </w:pPr>
      <w:r w:rsidRPr="001A5708">
        <w:rPr>
          <w:b/>
        </w:rPr>
        <w:tab/>
      </w:r>
      <w:r w:rsidRPr="001A5708">
        <w:rPr>
          <w:b/>
        </w:rPr>
        <w:tab/>
      </w:r>
      <w:r w:rsidRPr="001A5708">
        <w:rPr>
          <w:b/>
        </w:rPr>
        <w:tab/>
        <w:t xml:space="preserve">          </w:t>
      </w:r>
      <w:r>
        <w:rPr>
          <w:b/>
        </w:rPr>
        <w:t xml:space="preserve">  32 (4.1%) were denied in full</w:t>
      </w:r>
    </w:p>
    <w:p w:rsidR="00FD1480" w:rsidRPr="001A5708" w:rsidRDefault="00FD1480" w:rsidP="00FD1480">
      <w:pPr>
        <w:pStyle w:val="ListParagraph"/>
        <w:ind w:hanging="360"/>
        <w:rPr>
          <w:b/>
        </w:rPr>
      </w:pPr>
      <w:r w:rsidRPr="001A5708">
        <w:rPr>
          <w:b/>
        </w:rPr>
        <w:tab/>
      </w:r>
      <w:r w:rsidRPr="001A5708">
        <w:rPr>
          <w:b/>
        </w:rPr>
        <w:tab/>
      </w:r>
      <w:r w:rsidRPr="001A5708">
        <w:rPr>
          <w:b/>
        </w:rPr>
        <w:tab/>
        <w:t xml:space="preserve">          129 (16.6</w:t>
      </w:r>
      <w:r>
        <w:rPr>
          <w:b/>
        </w:rPr>
        <w:t>%) were denied in part</w:t>
      </w:r>
    </w:p>
    <w:p w:rsidR="00FD1480" w:rsidRPr="001A5708" w:rsidRDefault="00FD1480" w:rsidP="00FD1480">
      <w:pPr>
        <w:pStyle w:val="ListParagraph"/>
        <w:ind w:hanging="360"/>
        <w:rPr>
          <w:b/>
        </w:rPr>
      </w:pPr>
      <w:r w:rsidRPr="001A5708">
        <w:rPr>
          <w:b/>
        </w:rPr>
        <w:tab/>
      </w:r>
      <w:r w:rsidRPr="001A5708">
        <w:rPr>
          <w:b/>
        </w:rPr>
        <w:tab/>
      </w:r>
      <w:r w:rsidRPr="001A5708">
        <w:rPr>
          <w:b/>
        </w:rPr>
        <w:tab/>
        <w:t xml:space="preserve">          105 (13.5</w:t>
      </w:r>
      <w:r>
        <w:rPr>
          <w:b/>
        </w:rPr>
        <w:t>%) agency was unable to respond</w:t>
      </w:r>
    </w:p>
    <w:p w:rsidR="00FD1480" w:rsidRPr="001A5708" w:rsidRDefault="00FD1480" w:rsidP="00FD1480">
      <w:pPr>
        <w:pStyle w:val="ListParagraph"/>
        <w:ind w:hanging="360"/>
        <w:rPr>
          <w:b/>
        </w:rPr>
      </w:pPr>
      <w:r w:rsidRPr="001A5708">
        <w:rPr>
          <w:b/>
        </w:rPr>
        <w:t xml:space="preserve"> </w:t>
      </w:r>
      <w:r w:rsidRPr="001A5708">
        <w:rPr>
          <w:b/>
        </w:rPr>
        <w:tab/>
      </w:r>
      <w:r w:rsidRPr="001A5708">
        <w:rPr>
          <w:b/>
        </w:rPr>
        <w:tab/>
      </w:r>
      <w:r w:rsidRPr="001A5708">
        <w:rPr>
          <w:b/>
        </w:rPr>
        <w:tab/>
        <w:t xml:space="preserve">         </w:t>
      </w:r>
      <w:r>
        <w:rPr>
          <w:b/>
        </w:rPr>
        <w:t xml:space="preserve">     </w:t>
      </w:r>
      <w:proofErr w:type="gramStart"/>
      <w:r>
        <w:rPr>
          <w:b/>
        </w:rPr>
        <w:t>8 (1 %) requester</w:t>
      </w:r>
      <w:proofErr w:type="gramEnd"/>
      <w:r>
        <w:rPr>
          <w:b/>
        </w:rPr>
        <w:t xml:space="preserve"> withdrew</w:t>
      </w:r>
    </w:p>
    <w:p w:rsidR="00FD1480" w:rsidRPr="001A5708" w:rsidRDefault="00FD1480" w:rsidP="00FD1480">
      <w:pPr>
        <w:pStyle w:val="ListParagraph"/>
        <w:ind w:hanging="360"/>
        <w:rPr>
          <w:b/>
        </w:rPr>
      </w:pPr>
      <w:r w:rsidRPr="001A5708">
        <w:rPr>
          <w:b/>
        </w:rPr>
        <w:tab/>
      </w:r>
      <w:r w:rsidRPr="001A5708">
        <w:rPr>
          <w:b/>
        </w:rPr>
        <w:tab/>
      </w:r>
      <w:r w:rsidRPr="001A5708">
        <w:rPr>
          <w:b/>
        </w:rPr>
        <w:tab/>
        <w:t xml:space="preserve">            40 (</w:t>
      </w:r>
      <w:proofErr w:type="gramStart"/>
      <w:r w:rsidRPr="001A5708">
        <w:rPr>
          <w:b/>
        </w:rPr>
        <w:t>5.1</w:t>
      </w:r>
      <w:r w:rsidRPr="001A5708">
        <w:rPr>
          <w:b/>
        </w:rPr>
        <w:softHyphen/>
      </w:r>
      <w:r w:rsidRPr="001A5708">
        <w:rPr>
          <w:b/>
        </w:rPr>
        <w:softHyphen/>
        <w:t>%</w:t>
      </w:r>
      <w:proofErr w:type="gramEnd"/>
      <w:r w:rsidRPr="001A5708">
        <w:rPr>
          <w:b/>
        </w:rPr>
        <w:t>) requester abandoned or failed to pay</w:t>
      </w:r>
    </w:p>
    <w:p w:rsidR="00FD1480" w:rsidRDefault="00FD1480" w:rsidP="00FD1480"/>
    <w:p w:rsidR="00FD1480" w:rsidRDefault="00FD1480" w:rsidP="00FD1480">
      <w:r>
        <w:br w:type="page"/>
      </w:r>
    </w:p>
    <w:p w:rsidR="00FD1480" w:rsidRDefault="00FD1480" w:rsidP="00FD1480">
      <w:pPr>
        <w:jc w:val="center"/>
      </w:pPr>
      <w:r w:rsidRPr="00C42688">
        <w:drawing>
          <wp:inline distT="0" distB="0" distL="0" distR="0">
            <wp:extent cx="4572000" cy="3638551"/>
            <wp:effectExtent l="19050" t="0" r="19050" b="0"/>
            <wp:docPr id="34"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FD1480" w:rsidRDefault="00FD1480" w:rsidP="00FD1480">
      <w:pPr>
        <w:jc w:val="center"/>
        <w:rPr>
          <w:b/>
          <w:sz w:val="28"/>
          <w:szCs w:val="28"/>
        </w:rPr>
      </w:pPr>
      <w:r>
        <w:rPr>
          <w:b/>
          <w:sz w:val="28"/>
          <w:szCs w:val="28"/>
        </w:rPr>
        <w:t>Chart 5</w:t>
      </w:r>
    </w:p>
    <w:p w:rsidR="00FD1480" w:rsidRDefault="00FD1480" w:rsidP="00FD1480">
      <w:pPr>
        <w:jc w:val="center"/>
        <w:rPr>
          <w:b/>
          <w:sz w:val="28"/>
          <w:szCs w:val="28"/>
        </w:rPr>
      </w:pPr>
    </w:p>
    <w:p w:rsidR="00FD1480" w:rsidRDefault="00FD1480" w:rsidP="00FD1480">
      <w:r>
        <w:t>Description of Chart:</w:t>
      </w:r>
    </w:p>
    <w:p w:rsidR="00FD1480" w:rsidRPr="00961ED7" w:rsidRDefault="00FD1480" w:rsidP="00FD1480">
      <w:pPr>
        <w:ind w:left="720"/>
        <w:rPr>
          <w:rFonts w:asciiTheme="minorHAnsi" w:hAnsiTheme="minorHAnsi"/>
          <w:b/>
        </w:rPr>
      </w:pPr>
      <w:r w:rsidRPr="00961ED7">
        <w:rPr>
          <w:rFonts w:asciiTheme="minorHAnsi" w:hAnsiTheme="minorHAnsi"/>
          <w:b/>
        </w:rPr>
        <w:t>FEES AND COSTS</w:t>
      </w:r>
    </w:p>
    <w:p w:rsidR="00FD1480" w:rsidRPr="00961ED7" w:rsidRDefault="00FD1480" w:rsidP="00FD1480">
      <w:pPr>
        <w:ind w:left="720"/>
        <w:rPr>
          <w:rFonts w:asciiTheme="minorHAnsi" w:hAnsiTheme="minorHAnsi"/>
        </w:rPr>
      </w:pPr>
      <w:r w:rsidRPr="00961ED7">
        <w:rPr>
          <w:rFonts w:asciiTheme="minorHAnsi" w:hAnsiTheme="minorHAnsi"/>
          <w:b/>
        </w:rPr>
        <w:t>Pie chart showing $2,53</w:t>
      </w:r>
      <w:r>
        <w:rPr>
          <w:rFonts w:asciiTheme="minorHAnsi" w:hAnsiTheme="minorHAnsi"/>
          <w:b/>
        </w:rPr>
        <w:t>4</w:t>
      </w:r>
      <w:r w:rsidRPr="00961ED7">
        <w:rPr>
          <w:rFonts w:asciiTheme="minorHAnsi" w:hAnsiTheme="minorHAnsi"/>
          <w:b/>
        </w:rPr>
        <w:t xml:space="preserve"> in fees and costs paid by requesters, and $33,678 in total gross fees and costs incurred but not </w:t>
      </w:r>
      <w:r>
        <w:rPr>
          <w:rFonts w:asciiTheme="minorHAnsi" w:hAnsiTheme="minorHAnsi"/>
          <w:b/>
        </w:rPr>
        <w:t>charged</w:t>
      </w:r>
      <w:r w:rsidRPr="00961ED7">
        <w:rPr>
          <w:rFonts w:asciiTheme="minorHAnsi" w:hAnsiTheme="minorHAnsi"/>
          <w:b/>
        </w:rPr>
        <w:t xml:space="preserve"> by agencies, and noting that $14,155 in net fees and costs could be properly charged to requesters    </w:t>
      </w:r>
    </w:p>
    <w:p w:rsidR="00FD1480" w:rsidRDefault="00FD1480" w:rsidP="00FD1480"/>
    <w:p w:rsidR="00FD1480" w:rsidRDefault="00FD1480" w:rsidP="00FD1480">
      <w:r>
        <w:br w:type="page"/>
      </w:r>
    </w:p>
    <w:p w:rsidR="00FD1480" w:rsidRDefault="00FD1480" w:rsidP="00FD1480">
      <w:pPr>
        <w:jc w:val="center"/>
      </w:pPr>
      <w:r w:rsidRPr="0064148D">
        <w:drawing>
          <wp:inline distT="0" distB="0" distL="0" distR="0">
            <wp:extent cx="4496435" cy="4143375"/>
            <wp:effectExtent l="19050" t="0" r="18415" b="0"/>
            <wp:docPr id="35"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FD1480" w:rsidRDefault="00FD1480" w:rsidP="00FD1480">
      <w:pPr>
        <w:jc w:val="center"/>
        <w:rPr>
          <w:b/>
          <w:sz w:val="28"/>
          <w:szCs w:val="28"/>
        </w:rPr>
      </w:pPr>
      <w:r>
        <w:rPr>
          <w:b/>
          <w:sz w:val="28"/>
          <w:szCs w:val="28"/>
        </w:rPr>
        <w:t>Chart 6</w:t>
      </w:r>
    </w:p>
    <w:p w:rsidR="00FD1480" w:rsidRDefault="00FD1480" w:rsidP="00FD1480">
      <w:pPr>
        <w:jc w:val="center"/>
        <w:rPr>
          <w:b/>
          <w:sz w:val="28"/>
          <w:szCs w:val="28"/>
        </w:rPr>
      </w:pPr>
    </w:p>
    <w:p w:rsidR="00FD1480" w:rsidRDefault="00FD1480" w:rsidP="00FD1480">
      <w:r>
        <w:t xml:space="preserve">Description of Chart:  </w:t>
      </w:r>
    </w:p>
    <w:p w:rsidR="00FD1480" w:rsidRPr="004750E3" w:rsidRDefault="00FD1480" w:rsidP="00FD1480">
      <w:pPr>
        <w:pStyle w:val="ListParagraph"/>
        <w:rPr>
          <w:b/>
        </w:rPr>
      </w:pPr>
      <w:r w:rsidRPr="004750E3">
        <w:rPr>
          <w:b/>
        </w:rPr>
        <w:t>FEE WAIVERS</w:t>
      </w:r>
    </w:p>
    <w:p w:rsidR="00FD1480" w:rsidRPr="004750E3" w:rsidRDefault="00FD1480" w:rsidP="00FD1480">
      <w:pPr>
        <w:pStyle w:val="ListParagraph"/>
        <w:rPr>
          <w:b/>
        </w:rPr>
      </w:pPr>
      <w:r w:rsidRPr="004750E3">
        <w:rPr>
          <w:b/>
        </w:rPr>
        <w:t xml:space="preserve"> Pie chart showing 2,815 $30 fee waivers; 53 $60 </w:t>
      </w:r>
      <w:r>
        <w:rPr>
          <w:b/>
        </w:rPr>
        <w:t>fee waivers; 546 no fee waivers;</w:t>
      </w:r>
      <w:r w:rsidRPr="004750E3">
        <w:rPr>
          <w:b/>
        </w:rPr>
        <w:t xml:space="preserve"> and noting that </w:t>
      </w:r>
      <w:r>
        <w:rPr>
          <w:b/>
          <w:bCs/>
        </w:rPr>
        <w:t>n</w:t>
      </w:r>
      <w:r w:rsidRPr="0040334C">
        <w:rPr>
          <w:b/>
          <w:bCs/>
        </w:rPr>
        <w:t>o fee waivers are required if requests are denied, abandoned, or withdrawn, or agency is unable</w:t>
      </w:r>
      <w:r>
        <w:rPr>
          <w:b/>
          <w:bCs/>
        </w:rPr>
        <w:t xml:space="preserve"> </w:t>
      </w:r>
      <w:r w:rsidRPr="0040334C">
        <w:rPr>
          <w:b/>
          <w:bCs/>
        </w:rPr>
        <w:t>to respond.</w:t>
      </w:r>
    </w:p>
    <w:p w:rsidR="00FD1480" w:rsidRDefault="00FD1480" w:rsidP="00FD1480"/>
    <w:p w:rsidR="00FD1480" w:rsidRDefault="00FD1480" w:rsidP="00FD1480">
      <w:r>
        <w:br w:type="page"/>
      </w:r>
    </w:p>
    <w:p w:rsidR="00FD1480" w:rsidRDefault="00FD1480" w:rsidP="00FD1480">
      <w:pPr>
        <w:jc w:val="center"/>
      </w:pPr>
      <w:r w:rsidRPr="008D205A">
        <w:drawing>
          <wp:inline distT="0" distB="0" distL="0" distR="0">
            <wp:extent cx="5010150" cy="3133725"/>
            <wp:effectExtent l="19050" t="0" r="19050" b="0"/>
            <wp:docPr id="36"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FD1480" w:rsidRDefault="00FD1480" w:rsidP="00FD1480">
      <w:pPr>
        <w:jc w:val="center"/>
        <w:rPr>
          <w:b/>
          <w:sz w:val="28"/>
          <w:szCs w:val="28"/>
        </w:rPr>
      </w:pPr>
      <w:r>
        <w:rPr>
          <w:b/>
          <w:sz w:val="28"/>
          <w:szCs w:val="28"/>
        </w:rPr>
        <w:t>Chart 7</w:t>
      </w:r>
    </w:p>
    <w:p w:rsidR="00FD1480" w:rsidRDefault="00FD1480" w:rsidP="00FD1480">
      <w:pPr>
        <w:jc w:val="center"/>
        <w:rPr>
          <w:b/>
          <w:sz w:val="28"/>
          <w:szCs w:val="28"/>
        </w:rPr>
      </w:pPr>
    </w:p>
    <w:p w:rsidR="00FD1480" w:rsidRDefault="00FD1480" w:rsidP="00FD1480">
      <w:r>
        <w:t>Description of Chart:</w:t>
      </w:r>
    </w:p>
    <w:p w:rsidR="00FD1480" w:rsidRPr="00ED0856" w:rsidRDefault="00FD1480" w:rsidP="00FD1480">
      <w:pPr>
        <w:pStyle w:val="ListParagraph"/>
        <w:rPr>
          <w:b/>
        </w:rPr>
      </w:pPr>
      <w:r w:rsidRPr="00ED0856">
        <w:rPr>
          <w:b/>
        </w:rPr>
        <w:t>FEES AND COSTS FOR COMPLEX REQUESTS</w:t>
      </w:r>
    </w:p>
    <w:p w:rsidR="00FD1480" w:rsidRPr="00ED0856" w:rsidRDefault="00FD1480" w:rsidP="00FD1480">
      <w:pPr>
        <w:pStyle w:val="NoSpacing"/>
        <w:rPr>
          <w:b/>
        </w:rPr>
      </w:pPr>
      <w:r w:rsidRPr="00ED0856">
        <w:rPr>
          <w:b/>
        </w:rPr>
        <w:tab/>
        <w:t>Bar graph showing:</w:t>
      </w:r>
      <w:r w:rsidRPr="00ED0856">
        <w:rPr>
          <w:b/>
        </w:rPr>
        <w:tab/>
        <w:t xml:space="preserve"> $445 in fees and costs paid for complex requests</w:t>
      </w:r>
    </w:p>
    <w:p w:rsidR="00FD1480" w:rsidRPr="00ED0856" w:rsidRDefault="00FD1480" w:rsidP="00FD1480">
      <w:pPr>
        <w:pStyle w:val="NoSpacing"/>
        <w:rPr>
          <w:b/>
        </w:rPr>
      </w:pPr>
      <w:r w:rsidRPr="00ED0856">
        <w:rPr>
          <w:b/>
        </w:rPr>
        <w:tab/>
      </w:r>
      <w:r w:rsidRPr="00ED0856">
        <w:rPr>
          <w:b/>
        </w:rPr>
        <w:tab/>
      </w:r>
      <w:r w:rsidRPr="00ED0856">
        <w:rPr>
          <w:b/>
        </w:rPr>
        <w:tab/>
      </w:r>
      <w:r w:rsidRPr="00ED0856">
        <w:rPr>
          <w:b/>
        </w:rPr>
        <w:tab/>
        <w:t>$2,358 net chargeable</w:t>
      </w:r>
    </w:p>
    <w:p w:rsidR="00FD1480" w:rsidRPr="00ED0856" w:rsidRDefault="00FD1480" w:rsidP="00FD1480">
      <w:pPr>
        <w:pStyle w:val="NoSpacing"/>
        <w:rPr>
          <w:b/>
        </w:rPr>
      </w:pPr>
      <w:r w:rsidRPr="00ED0856">
        <w:rPr>
          <w:b/>
        </w:rPr>
        <w:tab/>
      </w:r>
      <w:r w:rsidRPr="00ED0856">
        <w:rPr>
          <w:b/>
        </w:rPr>
        <w:tab/>
      </w:r>
      <w:r w:rsidRPr="00ED0856">
        <w:rPr>
          <w:b/>
        </w:rPr>
        <w:tab/>
      </w:r>
      <w:r w:rsidRPr="00ED0856">
        <w:rPr>
          <w:b/>
        </w:rPr>
        <w:tab/>
        <w:t>$3,166 gross incurred by agencies</w:t>
      </w:r>
    </w:p>
    <w:p w:rsidR="00FD1480" w:rsidRPr="00ED0856" w:rsidRDefault="00FD1480" w:rsidP="00FD1480">
      <w:pPr>
        <w:rPr>
          <w:b/>
        </w:rPr>
      </w:pPr>
    </w:p>
    <w:p w:rsidR="00FD1480" w:rsidRDefault="00FD1480" w:rsidP="00FD1480"/>
    <w:p w:rsidR="00FD1480" w:rsidRDefault="00FD1480" w:rsidP="00FD1480">
      <w:r>
        <w:br w:type="page"/>
      </w:r>
    </w:p>
    <w:p w:rsidR="00FD1480" w:rsidRDefault="00FD1480" w:rsidP="00FD1480">
      <w:pPr>
        <w:jc w:val="center"/>
      </w:pPr>
      <w:r w:rsidRPr="003C4583">
        <w:drawing>
          <wp:inline distT="0" distB="0" distL="0" distR="0">
            <wp:extent cx="5943600" cy="4838020"/>
            <wp:effectExtent l="19050" t="0" r="19050" b="680"/>
            <wp:docPr id="3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FD1480" w:rsidRDefault="00FD1480" w:rsidP="00FD1480">
      <w:pPr>
        <w:jc w:val="center"/>
        <w:rPr>
          <w:b/>
          <w:sz w:val="28"/>
          <w:szCs w:val="28"/>
        </w:rPr>
      </w:pPr>
      <w:r>
        <w:rPr>
          <w:b/>
          <w:sz w:val="28"/>
          <w:szCs w:val="28"/>
        </w:rPr>
        <w:t>Chart 8</w:t>
      </w:r>
    </w:p>
    <w:p w:rsidR="00FD1480" w:rsidRDefault="00FD1480" w:rsidP="00FD1480">
      <w:pPr>
        <w:jc w:val="center"/>
        <w:rPr>
          <w:b/>
          <w:sz w:val="28"/>
          <w:szCs w:val="28"/>
        </w:rPr>
      </w:pPr>
    </w:p>
    <w:p w:rsidR="00FD1480" w:rsidRDefault="00FD1480" w:rsidP="00FD1480">
      <w:r>
        <w:t>Description of Chart:</w:t>
      </w:r>
    </w:p>
    <w:p w:rsidR="00FD1480" w:rsidRPr="00DF6419" w:rsidRDefault="00FD1480" w:rsidP="00FD1480">
      <w:pPr>
        <w:pStyle w:val="NoSpacing"/>
        <w:ind w:left="720"/>
        <w:rPr>
          <w:b/>
        </w:rPr>
      </w:pPr>
      <w:r w:rsidRPr="00DF6419">
        <w:rPr>
          <w:b/>
        </w:rPr>
        <w:t>Bar graph showing the average number of hours incurred to complete:</w:t>
      </w:r>
    </w:p>
    <w:p w:rsidR="00FD1480" w:rsidRPr="00DF6419" w:rsidRDefault="00FD1480" w:rsidP="00FD1480">
      <w:pPr>
        <w:pStyle w:val="NoSpacing"/>
        <w:ind w:left="720"/>
        <w:rPr>
          <w:b/>
        </w:rPr>
      </w:pPr>
    </w:p>
    <w:p w:rsidR="00FD1480" w:rsidRPr="00DF6419" w:rsidRDefault="00FD1480" w:rsidP="00FD1480">
      <w:pPr>
        <w:pStyle w:val="NoSpacing"/>
        <w:ind w:left="720"/>
        <w:rPr>
          <w:b/>
        </w:rPr>
      </w:pPr>
      <w:r w:rsidRPr="00DF6419">
        <w:rPr>
          <w:b/>
        </w:rPr>
        <w:tab/>
      </w:r>
      <w:r w:rsidRPr="00DF6419">
        <w:rPr>
          <w:b/>
        </w:rPr>
        <w:tab/>
      </w:r>
      <w:r w:rsidRPr="00DF6419">
        <w:rPr>
          <w:b/>
        </w:rPr>
        <w:tab/>
        <w:t xml:space="preserve"> Search    </w:t>
      </w:r>
      <w:r w:rsidRPr="00DF6419">
        <w:rPr>
          <w:b/>
        </w:rPr>
        <w:tab/>
        <w:t xml:space="preserve">Review and Segregation  </w:t>
      </w:r>
      <w:r w:rsidRPr="00DF6419">
        <w:rPr>
          <w:b/>
        </w:rPr>
        <w:tab/>
        <w:t>Total SRS hours</w:t>
      </w:r>
      <w:r w:rsidRPr="00DF6419">
        <w:rPr>
          <w:b/>
        </w:rPr>
        <w:tab/>
      </w:r>
      <w:r w:rsidRPr="00DF6419">
        <w:rPr>
          <w:b/>
        </w:rPr>
        <w:tab/>
      </w:r>
    </w:p>
    <w:p w:rsidR="00FD1480" w:rsidRPr="00DF6419" w:rsidRDefault="00FD1480" w:rsidP="00FD1480">
      <w:pPr>
        <w:pStyle w:val="NoSpacing"/>
        <w:ind w:left="720"/>
        <w:rPr>
          <w:b/>
        </w:rPr>
      </w:pPr>
      <w:r w:rsidRPr="00DF6419">
        <w:rPr>
          <w:b/>
        </w:rPr>
        <w:tab/>
      </w:r>
    </w:p>
    <w:p w:rsidR="00FD1480" w:rsidRPr="00DF6419" w:rsidRDefault="00FD1480" w:rsidP="00FD1480">
      <w:pPr>
        <w:pStyle w:val="NoSpacing"/>
        <w:ind w:left="720"/>
        <w:rPr>
          <w:b/>
        </w:rPr>
      </w:pPr>
      <w:r w:rsidRPr="00DF6419">
        <w:rPr>
          <w:b/>
        </w:rPr>
        <w:tab/>
        <w:t xml:space="preserve">All requests </w:t>
      </w:r>
      <w:r w:rsidRPr="00DF6419">
        <w:rPr>
          <w:b/>
        </w:rPr>
        <w:tab/>
        <w:t xml:space="preserve">     .54</w:t>
      </w:r>
      <w:r w:rsidRPr="00DF6419">
        <w:rPr>
          <w:b/>
        </w:rPr>
        <w:tab/>
      </w:r>
      <w:r w:rsidRPr="00DF6419">
        <w:rPr>
          <w:b/>
        </w:rPr>
        <w:tab/>
      </w:r>
      <w:r w:rsidRPr="00DF6419">
        <w:rPr>
          <w:b/>
        </w:rPr>
        <w:tab/>
        <w:t xml:space="preserve">  .18</w:t>
      </w:r>
      <w:r w:rsidRPr="00DF6419">
        <w:rPr>
          <w:b/>
        </w:rPr>
        <w:tab/>
      </w:r>
      <w:r w:rsidRPr="00DF6419">
        <w:rPr>
          <w:b/>
        </w:rPr>
        <w:tab/>
      </w:r>
      <w:r w:rsidRPr="00DF6419">
        <w:rPr>
          <w:b/>
        </w:rPr>
        <w:tab/>
      </w:r>
      <w:r w:rsidRPr="00DF6419">
        <w:rPr>
          <w:b/>
        </w:rPr>
        <w:tab/>
        <w:t xml:space="preserve">  .72</w:t>
      </w:r>
    </w:p>
    <w:p w:rsidR="00FD1480" w:rsidRPr="00DF6419" w:rsidRDefault="00FD1480" w:rsidP="00FD1480">
      <w:pPr>
        <w:pStyle w:val="NoSpacing"/>
        <w:ind w:left="720"/>
        <w:rPr>
          <w:b/>
        </w:rPr>
      </w:pPr>
    </w:p>
    <w:p w:rsidR="00FD1480" w:rsidRPr="00DF6419" w:rsidRDefault="00FD1480" w:rsidP="00FD1480">
      <w:pPr>
        <w:pStyle w:val="NoSpacing"/>
        <w:ind w:left="720"/>
        <w:rPr>
          <w:b/>
        </w:rPr>
      </w:pPr>
      <w:r w:rsidRPr="00DF6419">
        <w:rPr>
          <w:b/>
        </w:rPr>
        <w:tab/>
        <w:t>Noncomplex/</w:t>
      </w:r>
    </w:p>
    <w:p w:rsidR="00FD1480" w:rsidRPr="00DF6419" w:rsidRDefault="00FD1480" w:rsidP="00FD1480">
      <w:pPr>
        <w:pStyle w:val="NoSpacing"/>
        <w:ind w:left="720"/>
        <w:rPr>
          <w:b/>
        </w:rPr>
      </w:pPr>
      <w:r w:rsidRPr="00DF6419">
        <w:rPr>
          <w:b/>
        </w:rPr>
        <w:tab/>
      </w:r>
      <w:proofErr w:type="spellStart"/>
      <w:r w:rsidRPr="00DF6419">
        <w:rPr>
          <w:b/>
        </w:rPr>
        <w:t>Nonpersonal</w:t>
      </w:r>
      <w:proofErr w:type="spellEnd"/>
      <w:r w:rsidRPr="00DF6419">
        <w:rPr>
          <w:b/>
        </w:rPr>
        <w:tab/>
        <w:t xml:space="preserve">     .52</w:t>
      </w:r>
      <w:r w:rsidRPr="00DF6419">
        <w:rPr>
          <w:b/>
        </w:rPr>
        <w:tab/>
      </w:r>
      <w:r w:rsidRPr="00DF6419">
        <w:rPr>
          <w:b/>
        </w:rPr>
        <w:tab/>
      </w:r>
      <w:r w:rsidRPr="00DF6419">
        <w:rPr>
          <w:b/>
        </w:rPr>
        <w:tab/>
        <w:t xml:space="preserve">  .15</w:t>
      </w:r>
      <w:r w:rsidRPr="00DF6419">
        <w:rPr>
          <w:b/>
        </w:rPr>
        <w:tab/>
      </w:r>
      <w:r w:rsidRPr="00DF6419">
        <w:rPr>
          <w:b/>
        </w:rPr>
        <w:tab/>
      </w:r>
      <w:r w:rsidRPr="00DF6419">
        <w:rPr>
          <w:b/>
        </w:rPr>
        <w:tab/>
      </w:r>
      <w:r w:rsidRPr="00DF6419">
        <w:rPr>
          <w:b/>
        </w:rPr>
        <w:tab/>
        <w:t xml:space="preserve">  .67</w:t>
      </w:r>
    </w:p>
    <w:p w:rsidR="00FD1480" w:rsidRPr="00DF6419" w:rsidRDefault="00FD1480" w:rsidP="00FD1480">
      <w:pPr>
        <w:pStyle w:val="NoSpacing"/>
        <w:ind w:left="720"/>
        <w:rPr>
          <w:b/>
        </w:rPr>
      </w:pPr>
      <w:r w:rsidRPr="00DF6419">
        <w:rPr>
          <w:b/>
        </w:rPr>
        <w:tab/>
      </w:r>
    </w:p>
    <w:p w:rsidR="00FD1480" w:rsidRDefault="00FD1480" w:rsidP="00FD1480">
      <w:pPr>
        <w:pStyle w:val="NoSpacing"/>
        <w:ind w:left="720"/>
        <w:rPr>
          <w:b/>
        </w:rPr>
      </w:pPr>
      <w:r w:rsidRPr="00DF6419">
        <w:rPr>
          <w:b/>
        </w:rPr>
        <w:tab/>
        <w:t xml:space="preserve">Personal </w:t>
      </w:r>
      <w:r w:rsidRPr="00DF6419">
        <w:rPr>
          <w:b/>
        </w:rPr>
        <w:tab/>
        <w:t xml:space="preserve">      .36</w:t>
      </w:r>
      <w:r w:rsidRPr="00DF6419">
        <w:rPr>
          <w:b/>
        </w:rPr>
        <w:tab/>
      </w:r>
      <w:r w:rsidRPr="00DF6419">
        <w:rPr>
          <w:b/>
        </w:rPr>
        <w:tab/>
      </w:r>
      <w:r w:rsidRPr="00DF6419">
        <w:rPr>
          <w:b/>
        </w:rPr>
        <w:tab/>
        <w:t xml:space="preserve">  .19</w:t>
      </w:r>
      <w:r w:rsidRPr="00DF6419">
        <w:rPr>
          <w:b/>
        </w:rPr>
        <w:tab/>
      </w:r>
      <w:r w:rsidRPr="00DF6419">
        <w:rPr>
          <w:b/>
        </w:rPr>
        <w:tab/>
      </w:r>
      <w:r w:rsidRPr="00DF6419">
        <w:rPr>
          <w:b/>
        </w:rPr>
        <w:tab/>
      </w:r>
      <w:r w:rsidRPr="00DF6419">
        <w:rPr>
          <w:b/>
        </w:rPr>
        <w:tab/>
        <w:t xml:space="preserve">  .55</w:t>
      </w:r>
    </w:p>
    <w:p w:rsidR="00FD1480" w:rsidRDefault="00FD1480" w:rsidP="00FD1480">
      <w:pPr>
        <w:pStyle w:val="NoSpacing"/>
        <w:ind w:left="720"/>
        <w:rPr>
          <w:b/>
        </w:rPr>
      </w:pPr>
    </w:p>
    <w:p w:rsidR="00AF4491" w:rsidRPr="00FD1480" w:rsidRDefault="00FD1480" w:rsidP="00FD1480">
      <w:pPr>
        <w:pStyle w:val="NoSpacing"/>
        <w:ind w:left="720" w:firstLine="720"/>
        <w:rPr>
          <w:b/>
        </w:rPr>
      </w:pPr>
      <w:r w:rsidRPr="00DF6419">
        <w:rPr>
          <w:b/>
        </w:rPr>
        <w:t>Complex</w:t>
      </w:r>
      <w:r w:rsidRPr="00DF6419">
        <w:rPr>
          <w:b/>
        </w:rPr>
        <w:tab/>
        <w:t xml:space="preserve">    2.18</w:t>
      </w:r>
      <w:r w:rsidRPr="00DF6419">
        <w:rPr>
          <w:b/>
        </w:rPr>
        <w:tab/>
      </w:r>
      <w:r w:rsidRPr="00DF6419">
        <w:rPr>
          <w:b/>
        </w:rPr>
        <w:tab/>
      </w:r>
      <w:r w:rsidRPr="00DF6419">
        <w:rPr>
          <w:b/>
        </w:rPr>
        <w:tab/>
        <w:t>2.1</w:t>
      </w:r>
      <w:r w:rsidRPr="00DF6419">
        <w:rPr>
          <w:b/>
        </w:rPr>
        <w:tab/>
      </w:r>
      <w:r w:rsidRPr="00DF6419">
        <w:rPr>
          <w:b/>
        </w:rPr>
        <w:tab/>
      </w:r>
      <w:r w:rsidRPr="00DF6419">
        <w:rPr>
          <w:b/>
        </w:rPr>
        <w:tab/>
      </w:r>
      <w:r w:rsidRPr="00DF6419">
        <w:rPr>
          <w:b/>
        </w:rPr>
        <w:tab/>
        <w:t>4.28</w:t>
      </w:r>
    </w:p>
    <w:sectPr w:rsidR="00AF4491" w:rsidRPr="00FD1480" w:rsidSect="00A92D9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FC27F1"/>
    <w:multiLevelType w:val="hybridMultilevel"/>
    <w:tmpl w:val="04D494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182DB9"/>
    <w:rsid w:val="00000CEC"/>
    <w:rsid w:val="000010B5"/>
    <w:rsid w:val="00001B7F"/>
    <w:rsid w:val="00001E4C"/>
    <w:rsid w:val="00001ECC"/>
    <w:rsid w:val="00002168"/>
    <w:rsid w:val="000024CE"/>
    <w:rsid w:val="00003AAE"/>
    <w:rsid w:val="00004A3A"/>
    <w:rsid w:val="0000515B"/>
    <w:rsid w:val="0000719F"/>
    <w:rsid w:val="000076CC"/>
    <w:rsid w:val="00007A7E"/>
    <w:rsid w:val="00011D22"/>
    <w:rsid w:val="00013B08"/>
    <w:rsid w:val="00015D82"/>
    <w:rsid w:val="00016BC3"/>
    <w:rsid w:val="00017129"/>
    <w:rsid w:val="000174E4"/>
    <w:rsid w:val="00017E51"/>
    <w:rsid w:val="00020DBD"/>
    <w:rsid w:val="00021CBE"/>
    <w:rsid w:val="00021CF7"/>
    <w:rsid w:val="00021F7C"/>
    <w:rsid w:val="00024FA5"/>
    <w:rsid w:val="00025C5D"/>
    <w:rsid w:val="00026247"/>
    <w:rsid w:val="000278A3"/>
    <w:rsid w:val="00027AE6"/>
    <w:rsid w:val="00031708"/>
    <w:rsid w:val="00031D59"/>
    <w:rsid w:val="000323DB"/>
    <w:rsid w:val="000328FF"/>
    <w:rsid w:val="000350EE"/>
    <w:rsid w:val="000358F8"/>
    <w:rsid w:val="00035BB7"/>
    <w:rsid w:val="00036481"/>
    <w:rsid w:val="00040D45"/>
    <w:rsid w:val="00041738"/>
    <w:rsid w:val="00041E0A"/>
    <w:rsid w:val="000422EE"/>
    <w:rsid w:val="00042359"/>
    <w:rsid w:val="0004259E"/>
    <w:rsid w:val="00043206"/>
    <w:rsid w:val="00043E38"/>
    <w:rsid w:val="00044447"/>
    <w:rsid w:val="00044891"/>
    <w:rsid w:val="00045701"/>
    <w:rsid w:val="00046838"/>
    <w:rsid w:val="000512BE"/>
    <w:rsid w:val="00051C7D"/>
    <w:rsid w:val="00051E76"/>
    <w:rsid w:val="000555E9"/>
    <w:rsid w:val="00056105"/>
    <w:rsid w:val="000603A3"/>
    <w:rsid w:val="0006082C"/>
    <w:rsid w:val="00061373"/>
    <w:rsid w:val="0006275B"/>
    <w:rsid w:val="000634D6"/>
    <w:rsid w:val="0006395A"/>
    <w:rsid w:val="00067659"/>
    <w:rsid w:val="0007036A"/>
    <w:rsid w:val="00072026"/>
    <w:rsid w:val="00072460"/>
    <w:rsid w:val="000737C2"/>
    <w:rsid w:val="00074063"/>
    <w:rsid w:val="00074700"/>
    <w:rsid w:val="00074B77"/>
    <w:rsid w:val="00075323"/>
    <w:rsid w:val="00075A88"/>
    <w:rsid w:val="000764BC"/>
    <w:rsid w:val="00076CA0"/>
    <w:rsid w:val="00080040"/>
    <w:rsid w:val="00080768"/>
    <w:rsid w:val="00082BE1"/>
    <w:rsid w:val="00083CA7"/>
    <w:rsid w:val="00087227"/>
    <w:rsid w:val="00090EF9"/>
    <w:rsid w:val="000929F1"/>
    <w:rsid w:val="00093C50"/>
    <w:rsid w:val="00094027"/>
    <w:rsid w:val="00094C4D"/>
    <w:rsid w:val="00095AF8"/>
    <w:rsid w:val="00096402"/>
    <w:rsid w:val="000A1A7A"/>
    <w:rsid w:val="000A2893"/>
    <w:rsid w:val="000A3EB5"/>
    <w:rsid w:val="000A6CEF"/>
    <w:rsid w:val="000A70BC"/>
    <w:rsid w:val="000B07F5"/>
    <w:rsid w:val="000B490C"/>
    <w:rsid w:val="000B4991"/>
    <w:rsid w:val="000B4ADC"/>
    <w:rsid w:val="000B4B79"/>
    <w:rsid w:val="000B68B3"/>
    <w:rsid w:val="000C0079"/>
    <w:rsid w:val="000C067E"/>
    <w:rsid w:val="000C0E56"/>
    <w:rsid w:val="000C2CBD"/>
    <w:rsid w:val="000C3C44"/>
    <w:rsid w:val="000C3DDA"/>
    <w:rsid w:val="000C5BEE"/>
    <w:rsid w:val="000D0BAE"/>
    <w:rsid w:val="000D0C28"/>
    <w:rsid w:val="000D25F3"/>
    <w:rsid w:val="000D30A4"/>
    <w:rsid w:val="000D4F59"/>
    <w:rsid w:val="000D62FD"/>
    <w:rsid w:val="000D6477"/>
    <w:rsid w:val="000D6F99"/>
    <w:rsid w:val="000D7EE5"/>
    <w:rsid w:val="000E122E"/>
    <w:rsid w:val="000E1AF7"/>
    <w:rsid w:val="000E263B"/>
    <w:rsid w:val="000E2ED9"/>
    <w:rsid w:val="000E3DFE"/>
    <w:rsid w:val="000F0F70"/>
    <w:rsid w:val="000F0FFF"/>
    <w:rsid w:val="000F356B"/>
    <w:rsid w:val="000F3CE5"/>
    <w:rsid w:val="000F466B"/>
    <w:rsid w:val="000F5BF4"/>
    <w:rsid w:val="000F6623"/>
    <w:rsid w:val="000F722E"/>
    <w:rsid w:val="000F7FF5"/>
    <w:rsid w:val="00100AAB"/>
    <w:rsid w:val="00101569"/>
    <w:rsid w:val="00101718"/>
    <w:rsid w:val="00102C31"/>
    <w:rsid w:val="001044B6"/>
    <w:rsid w:val="00104759"/>
    <w:rsid w:val="00104B30"/>
    <w:rsid w:val="0010528C"/>
    <w:rsid w:val="00105A56"/>
    <w:rsid w:val="001066E5"/>
    <w:rsid w:val="0010731F"/>
    <w:rsid w:val="001104CE"/>
    <w:rsid w:val="0011205F"/>
    <w:rsid w:val="00112AFA"/>
    <w:rsid w:val="00113886"/>
    <w:rsid w:val="00114277"/>
    <w:rsid w:val="001147D3"/>
    <w:rsid w:val="001148E7"/>
    <w:rsid w:val="00114ED9"/>
    <w:rsid w:val="00116023"/>
    <w:rsid w:val="0011695A"/>
    <w:rsid w:val="00116E36"/>
    <w:rsid w:val="001205F1"/>
    <w:rsid w:val="00120A21"/>
    <w:rsid w:val="0012255B"/>
    <w:rsid w:val="001227FF"/>
    <w:rsid w:val="00122977"/>
    <w:rsid w:val="00124611"/>
    <w:rsid w:val="001258C9"/>
    <w:rsid w:val="001260C7"/>
    <w:rsid w:val="001308BA"/>
    <w:rsid w:val="00132349"/>
    <w:rsid w:val="00132CE9"/>
    <w:rsid w:val="001352C9"/>
    <w:rsid w:val="00135968"/>
    <w:rsid w:val="00135F58"/>
    <w:rsid w:val="0013721E"/>
    <w:rsid w:val="00140E73"/>
    <w:rsid w:val="00143850"/>
    <w:rsid w:val="00145895"/>
    <w:rsid w:val="00145F1D"/>
    <w:rsid w:val="0014659D"/>
    <w:rsid w:val="001467EC"/>
    <w:rsid w:val="00146EBA"/>
    <w:rsid w:val="001475DB"/>
    <w:rsid w:val="0015306D"/>
    <w:rsid w:val="001547BA"/>
    <w:rsid w:val="00155564"/>
    <w:rsid w:val="001563E3"/>
    <w:rsid w:val="00156981"/>
    <w:rsid w:val="00156EA4"/>
    <w:rsid w:val="001575D3"/>
    <w:rsid w:val="00157CBB"/>
    <w:rsid w:val="00160147"/>
    <w:rsid w:val="00161BEB"/>
    <w:rsid w:val="00161C6F"/>
    <w:rsid w:val="001633DD"/>
    <w:rsid w:val="001635F2"/>
    <w:rsid w:val="00163C93"/>
    <w:rsid w:val="001652DB"/>
    <w:rsid w:val="0016594B"/>
    <w:rsid w:val="00166653"/>
    <w:rsid w:val="00170552"/>
    <w:rsid w:val="00171222"/>
    <w:rsid w:val="0017206E"/>
    <w:rsid w:val="00172194"/>
    <w:rsid w:val="00172E1B"/>
    <w:rsid w:val="00172FCA"/>
    <w:rsid w:val="00175593"/>
    <w:rsid w:val="00175802"/>
    <w:rsid w:val="00180A1F"/>
    <w:rsid w:val="00180D78"/>
    <w:rsid w:val="00182DB9"/>
    <w:rsid w:val="00184B72"/>
    <w:rsid w:val="00184B82"/>
    <w:rsid w:val="00186061"/>
    <w:rsid w:val="001865B9"/>
    <w:rsid w:val="001865D9"/>
    <w:rsid w:val="00186BB7"/>
    <w:rsid w:val="001872C8"/>
    <w:rsid w:val="0018762D"/>
    <w:rsid w:val="00191817"/>
    <w:rsid w:val="0019254B"/>
    <w:rsid w:val="00194238"/>
    <w:rsid w:val="00194A5E"/>
    <w:rsid w:val="00194F9F"/>
    <w:rsid w:val="00195E88"/>
    <w:rsid w:val="00196481"/>
    <w:rsid w:val="00196713"/>
    <w:rsid w:val="00196E13"/>
    <w:rsid w:val="001A3ADF"/>
    <w:rsid w:val="001A48C2"/>
    <w:rsid w:val="001A5C91"/>
    <w:rsid w:val="001A69AA"/>
    <w:rsid w:val="001B3276"/>
    <w:rsid w:val="001B3C4B"/>
    <w:rsid w:val="001B47EF"/>
    <w:rsid w:val="001B5A1D"/>
    <w:rsid w:val="001B61EA"/>
    <w:rsid w:val="001C0921"/>
    <w:rsid w:val="001C1A35"/>
    <w:rsid w:val="001C1A79"/>
    <w:rsid w:val="001C287E"/>
    <w:rsid w:val="001C4983"/>
    <w:rsid w:val="001C4CA4"/>
    <w:rsid w:val="001C6C4F"/>
    <w:rsid w:val="001C6F18"/>
    <w:rsid w:val="001D0608"/>
    <w:rsid w:val="001D1057"/>
    <w:rsid w:val="001D3C34"/>
    <w:rsid w:val="001D3E5F"/>
    <w:rsid w:val="001D4C04"/>
    <w:rsid w:val="001D7ED7"/>
    <w:rsid w:val="001E0699"/>
    <w:rsid w:val="001E1280"/>
    <w:rsid w:val="001E15F2"/>
    <w:rsid w:val="001E2FD3"/>
    <w:rsid w:val="001E3A57"/>
    <w:rsid w:val="001E570C"/>
    <w:rsid w:val="001E580B"/>
    <w:rsid w:val="001F159F"/>
    <w:rsid w:val="001F18A5"/>
    <w:rsid w:val="001F1DB8"/>
    <w:rsid w:val="001F3088"/>
    <w:rsid w:val="001F37CC"/>
    <w:rsid w:val="001F3B53"/>
    <w:rsid w:val="001F65E1"/>
    <w:rsid w:val="001F76D2"/>
    <w:rsid w:val="002008E0"/>
    <w:rsid w:val="002010EF"/>
    <w:rsid w:val="0020161B"/>
    <w:rsid w:val="00201AF4"/>
    <w:rsid w:val="0020334A"/>
    <w:rsid w:val="002042E4"/>
    <w:rsid w:val="002062DC"/>
    <w:rsid w:val="002071FE"/>
    <w:rsid w:val="00207DFA"/>
    <w:rsid w:val="002100D0"/>
    <w:rsid w:val="002110C4"/>
    <w:rsid w:val="0021179F"/>
    <w:rsid w:val="00211878"/>
    <w:rsid w:val="00212BE9"/>
    <w:rsid w:val="002131D6"/>
    <w:rsid w:val="002135F5"/>
    <w:rsid w:val="00213AFB"/>
    <w:rsid w:val="002167BA"/>
    <w:rsid w:val="00220386"/>
    <w:rsid w:val="0022057F"/>
    <w:rsid w:val="002207B9"/>
    <w:rsid w:val="00220E43"/>
    <w:rsid w:val="00221A3B"/>
    <w:rsid w:val="00221C0A"/>
    <w:rsid w:val="00222DBD"/>
    <w:rsid w:val="002237A3"/>
    <w:rsid w:val="0022425B"/>
    <w:rsid w:val="002266AD"/>
    <w:rsid w:val="00227F7F"/>
    <w:rsid w:val="002300EA"/>
    <w:rsid w:val="00230B90"/>
    <w:rsid w:val="00235324"/>
    <w:rsid w:val="00244536"/>
    <w:rsid w:val="00245C99"/>
    <w:rsid w:val="002521D0"/>
    <w:rsid w:val="00252D81"/>
    <w:rsid w:val="00255A8B"/>
    <w:rsid w:val="0026090A"/>
    <w:rsid w:val="002609E4"/>
    <w:rsid w:val="002610CB"/>
    <w:rsid w:val="00266373"/>
    <w:rsid w:val="002671E0"/>
    <w:rsid w:val="00271018"/>
    <w:rsid w:val="0027150B"/>
    <w:rsid w:val="00272AB4"/>
    <w:rsid w:val="00275F7F"/>
    <w:rsid w:val="002763C4"/>
    <w:rsid w:val="00281EED"/>
    <w:rsid w:val="00281F33"/>
    <w:rsid w:val="00283D08"/>
    <w:rsid w:val="002848AC"/>
    <w:rsid w:val="002861F2"/>
    <w:rsid w:val="00286441"/>
    <w:rsid w:val="002916A6"/>
    <w:rsid w:val="00292E73"/>
    <w:rsid w:val="00294B69"/>
    <w:rsid w:val="00294FD1"/>
    <w:rsid w:val="00297E4C"/>
    <w:rsid w:val="002A0389"/>
    <w:rsid w:val="002A0EA1"/>
    <w:rsid w:val="002A1589"/>
    <w:rsid w:val="002A18A6"/>
    <w:rsid w:val="002A2453"/>
    <w:rsid w:val="002A318B"/>
    <w:rsid w:val="002A394D"/>
    <w:rsid w:val="002A3D2B"/>
    <w:rsid w:val="002A60A6"/>
    <w:rsid w:val="002A7A39"/>
    <w:rsid w:val="002B01A6"/>
    <w:rsid w:val="002B1ED8"/>
    <w:rsid w:val="002B2302"/>
    <w:rsid w:val="002B3794"/>
    <w:rsid w:val="002B5048"/>
    <w:rsid w:val="002B55AE"/>
    <w:rsid w:val="002B5B31"/>
    <w:rsid w:val="002B5E83"/>
    <w:rsid w:val="002B6F07"/>
    <w:rsid w:val="002B7949"/>
    <w:rsid w:val="002B7CAA"/>
    <w:rsid w:val="002B7F6A"/>
    <w:rsid w:val="002C3D6D"/>
    <w:rsid w:val="002C4946"/>
    <w:rsid w:val="002C4D01"/>
    <w:rsid w:val="002C5926"/>
    <w:rsid w:val="002D133E"/>
    <w:rsid w:val="002D27FA"/>
    <w:rsid w:val="002D3823"/>
    <w:rsid w:val="002D6536"/>
    <w:rsid w:val="002D7780"/>
    <w:rsid w:val="002E1DEB"/>
    <w:rsid w:val="002E4649"/>
    <w:rsid w:val="002E6362"/>
    <w:rsid w:val="002E6A0C"/>
    <w:rsid w:val="002E7807"/>
    <w:rsid w:val="002F2E0F"/>
    <w:rsid w:val="002F3925"/>
    <w:rsid w:val="002F4476"/>
    <w:rsid w:val="002F5033"/>
    <w:rsid w:val="002F6B28"/>
    <w:rsid w:val="002F737E"/>
    <w:rsid w:val="002F7945"/>
    <w:rsid w:val="003017B1"/>
    <w:rsid w:val="003024EE"/>
    <w:rsid w:val="00304DB6"/>
    <w:rsid w:val="00304DCC"/>
    <w:rsid w:val="00306114"/>
    <w:rsid w:val="0031270A"/>
    <w:rsid w:val="003130FA"/>
    <w:rsid w:val="00314027"/>
    <w:rsid w:val="00314334"/>
    <w:rsid w:val="00314BC1"/>
    <w:rsid w:val="0031588B"/>
    <w:rsid w:val="00316AEB"/>
    <w:rsid w:val="00316DAE"/>
    <w:rsid w:val="00316DCE"/>
    <w:rsid w:val="003170AA"/>
    <w:rsid w:val="00317FC7"/>
    <w:rsid w:val="0032237D"/>
    <w:rsid w:val="00323BFA"/>
    <w:rsid w:val="00324298"/>
    <w:rsid w:val="00324BBC"/>
    <w:rsid w:val="00325740"/>
    <w:rsid w:val="00326277"/>
    <w:rsid w:val="00327A83"/>
    <w:rsid w:val="00327D3F"/>
    <w:rsid w:val="0033029E"/>
    <w:rsid w:val="00331327"/>
    <w:rsid w:val="00331CFF"/>
    <w:rsid w:val="00332BAC"/>
    <w:rsid w:val="003341AD"/>
    <w:rsid w:val="003342C4"/>
    <w:rsid w:val="003364C9"/>
    <w:rsid w:val="003401A6"/>
    <w:rsid w:val="00341726"/>
    <w:rsid w:val="00343736"/>
    <w:rsid w:val="00346157"/>
    <w:rsid w:val="00346BA5"/>
    <w:rsid w:val="003477D4"/>
    <w:rsid w:val="00347D36"/>
    <w:rsid w:val="00350C7E"/>
    <w:rsid w:val="00351B22"/>
    <w:rsid w:val="00352315"/>
    <w:rsid w:val="00352B89"/>
    <w:rsid w:val="00353E0F"/>
    <w:rsid w:val="00354EFD"/>
    <w:rsid w:val="0035529A"/>
    <w:rsid w:val="00355A6A"/>
    <w:rsid w:val="00355C3B"/>
    <w:rsid w:val="00355D45"/>
    <w:rsid w:val="003561BF"/>
    <w:rsid w:val="003563DF"/>
    <w:rsid w:val="00357CC6"/>
    <w:rsid w:val="00357FD8"/>
    <w:rsid w:val="00361C68"/>
    <w:rsid w:val="0036245A"/>
    <w:rsid w:val="00362A84"/>
    <w:rsid w:val="00363B5E"/>
    <w:rsid w:val="0036719F"/>
    <w:rsid w:val="00372228"/>
    <w:rsid w:val="003725D5"/>
    <w:rsid w:val="0037311B"/>
    <w:rsid w:val="0037311F"/>
    <w:rsid w:val="00374D91"/>
    <w:rsid w:val="00375A64"/>
    <w:rsid w:val="00375EBE"/>
    <w:rsid w:val="0037757C"/>
    <w:rsid w:val="00381049"/>
    <w:rsid w:val="00381AB8"/>
    <w:rsid w:val="00382050"/>
    <w:rsid w:val="00382265"/>
    <w:rsid w:val="003824FB"/>
    <w:rsid w:val="00382781"/>
    <w:rsid w:val="003831CA"/>
    <w:rsid w:val="003839C0"/>
    <w:rsid w:val="00384A3A"/>
    <w:rsid w:val="00384D58"/>
    <w:rsid w:val="00385684"/>
    <w:rsid w:val="003873A0"/>
    <w:rsid w:val="003874F6"/>
    <w:rsid w:val="003911B1"/>
    <w:rsid w:val="00391E66"/>
    <w:rsid w:val="00392209"/>
    <w:rsid w:val="003965F5"/>
    <w:rsid w:val="003A1DDA"/>
    <w:rsid w:val="003A4614"/>
    <w:rsid w:val="003A4DAF"/>
    <w:rsid w:val="003A57C7"/>
    <w:rsid w:val="003A7868"/>
    <w:rsid w:val="003A7E3C"/>
    <w:rsid w:val="003A7EA6"/>
    <w:rsid w:val="003B0454"/>
    <w:rsid w:val="003B0C21"/>
    <w:rsid w:val="003B1F89"/>
    <w:rsid w:val="003B293C"/>
    <w:rsid w:val="003B4289"/>
    <w:rsid w:val="003B4E4D"/>
    <w:rsid w:val="003B5F4F"/>
    <w:rsid w:val="003B6994"/>
    <w:rsid w:val="003B79C0"/>
    <w:rsid w:val="003C14F1"/>
    <w:rsid w:val="003C191F"/>
    <w:rsid w:val="003C2C88"/>
    <w:rsid w:val="003C698A"/>
    <w:rsid w:val="003D18C3"/>
    <w:rsid w:val="003D30D7"/>
    <w:rsid w:val="003D793C"/>
    <w:rsid w:val="003D7CA6"/>
    <w:rsid w:val="003E17AD"/>
    <w:rsid w:val="003E1C1B"/>
    <w:rsid w:val="003E2E26"/>
    <w:rsid w:val="003E4654"/>
    <w:rsid w:val="003E50F0"/>
    <w:rsid w:val="003E6A5A"/>
    <w:rsid w:val="003E6D76"/>
    <w:rsid w:val="003E7535"/>
    <w:rsid w:val="003F2244"/>
    <w:rsid w:val="003F41FF"/>
    <w:rsid w:val="003F45F5"/>
    <w:rsid w:val="003F55ED"/>
    <w:rsid w:val="003F788C"/>
    <w:rsid w:val="003F7942"/>
    <w:rsid w:val="00401658"/>
    <w:rsid w:val="00401C76"/>
    <w:rsid w:val="004025CA"/>
    <w:rsid w:val="0040321E"/>
    <w:rsid w:val="004033B8"/>
    <w:rsid w:val="00403857"/>
    <w:rsid w:val="00403C7B"/>
    <w:rsid w:val="00404B98"/>
    <w:rsid w:val="00407389"/>
    <w:rsid w:val="004079DF"/>
    <w:rsid w:val="004119A4"/>
    <w:rsid w:val="0041408B"/>
    <w:rsid w:val="00415A5F"/>
    <w:rsid w:val="00415D4B"/>
    <w:rsid w:val="00420BE7"/>
    <w:rsid w:val="00420F21"/>
    <w:rsid w:val="0042155B"/>
    <w:rsid w:val="0042290D"/>
    <w:rsid w:val="004240C5"/>
    <w:rsid w:val="004240DB"/>
    <w:rsid w:val="00424A49"/>
    <w:rsid w:val="00427F35"/>
    <w:rsid w:val="004335B2"/>
    <w:rsid w:val="004338FF"/>
    <w:rsid w:val="004339AE"/>
    <w:rsid w:val="00433C34"/>
    <w:rsid w:val="00434191"/>
    <w:rsid w:val="00435393"/>
    <w:rsid w:val="004370E4"/>
    <w:rsid w:val="004374F4"/>
    <w:rsid w:val="00440C99"/>
    <w:rsid w:val="004430EE"/>
    <w:rsid w:val="00443926"/>
    <w:rsid w:val="004442EB"/>
    <w:rsid w:val="00444DC9"/>
    <w:rsid w:val="004454B7"/>
    <w:rsid w:val="004468E3"/>
    <w:rsid w:val="0044703C"/>
    <w:rsid w:val="00447E69"/>
    <w:rsid w:val="00450379"/>
    <w:rsid w:val="00451E0B"/>
    <w:rsid w:val="0045263C"/>
    <w:rsid w:val="0045418A"/>
    <w:rsid w:val="0045450A"/>
    <w:rsid w:val="0045481F"/>
    <w:rsid w:val="004550DA"/>
    <w:rsid w:val="004553A0"/>
    <w:rsid w:val="00456F8E"/>
    <w:rsid w:val="00457CF0"/>
    <w:rsid w:val="00457DF2"/>
    <w:rsid w:val="00460248"/>
    <w:rsid w:val="0046086D"/>
    <w:rsid w:val="00461432"/>
    <w:rsid w:val="00461C6A"/>
    <w:rsid w:val="00462472"/>
    <w:rsid w:val="00462739"/>
    <w:rsid w:val="00462C5E"/>
    <w:rsid w:val="00464C72"/>
    <w:rsid w:val="00471197"/>
    <w:rsid w:val="00473D86"/>
    <w:rsid w:val="004742F6"/>
    <w:rsid w:val="00474B1A"/>
    <w:rsid w:val="00474FF5"/>
    <w:rsid w:val="00475030"/>
    <w:rsid w:val="00475828"/>
    <w:rsid w:val="004800B3"/>
    <w:rsid w:val="004802DB"/>
    <w:rsid w:val="00481363"/>
    <w:rsid w:val="0048172C"/>
    <w:rsid w:val="00481EBC"/>
    <w:rsid w:val="00482AFF"/>
    <w:rsid w:val="00482BAE"/>
    <w:rsid w:val="00484872"/>
    <w:rsid w:val="00487812"/>
    <w:rsid w:val="00487958"/>
    <w:rsid w:val="00491CB8"/>
    <w:rsid w:val="00493325"/>
    <w:rsid w:val="00493FDD"/>
    <w:rsid w:val="004945DF"/>
    <w:rsid w:val="00494B33"/>
    <w:rsid w:val="00496713"/>
    <w:rsid w:val="004976D0"/>
    <w:rsid w:val="004A046A"/>
    <w:rsid w:val="004A1303"/>
    <w:rsid w:val="004A5D5B"/>
    <w:rsid w:val="004A5DAB"/>
    <w:rsid w:val="004B15A9"/>
    <w:rsid w:val="004B7F2E"/>
    <w:rsid w:val="004C08C8"/>
    <w:rsid w:val="004C1B18"/>
    <w:rsid w:val="004C3E81"/>
    <w:rsid w:val="004C40A9"/>
    <w:rsid w:val="004C5331"/>
    <w:rsid w:val="004C6331"/>
    <w:rsid w:val="004D16D3"/>
    <w:rsid w:val="004D1F0A"/>
    <w:rsid w:val="004D3142"/>
    <w:rsid w:val="004D4C35"/>
    <w:rsid w:val="004D7309"/>
    <w:rsid w:val="004E0CDA"/>
    <w:rsid w:val="004E1E0A"/>
    <w:rsid w:val="004E1F9A"/>
    <w:rsid w:val="004E2CCB"/>
    <w:rsid w:val="004E372B"/>
    <w:rsid w:val="004E379E"/>
    <w:rsid w:val="004E392B"/>
    <w:rsid w:val="004E403E"/>
    <w:rsid w:val="004E79A8"/>
    <w:rsid w:val="004F040A"/>
    <w:rsid w:val="004F2159"/>
    <w:rsid w:val="004F2B25"/>
    <w:rsid w:val="004F44DC"/>
    <w:rsid w:val="004F6129"/>
    <w:rsid w:val="004F6269"/>
    <w:rsid w:val="00502623"/>
    <w:rsid w:val="00503AA6"/>
    <w:rsid w:val="00503D55"/>
    <w:rsid w:val="00504D56"/>
    <w:rsid w:val="005053DA"/>
    <w:rsid w:val="00510D5E"/>
    <w:rsid w:val="00511077"/>
    <w:rsid w:val="0051195D"/>
    <w:rsid w:val="005130A5"/>
    <w:rsid w:val="00514490"/>
    <w:rsid w:val="00514EA8"/>
    <w:rsid w:val="0051507E"/>
    <w:rsid w:val="0051797A"/>
    <w:rsid w:val="00517D5A"/>
    <w:rsid w:val="00521887"/>
    <w:rsid w:val="00522477"/>
    <w:rsid w:val="00523943"/>
    <w:rsid w:val="00523992"/>
    <w:rsid w:val="00531B52"/>
    <w:rsid w:val="00531C13"/>
    <w:rsid w:val="005331F5"/>
    <w:rsid w:val="00534B19"/>
    <w:rsid w:val="00540D7A"/>
    <w:rsid w:val="005410FE"/>
    <w:rsid w:val="00543290"/>
    <w:rsid w:val="005449E1"/>
    <w:rsid w:val="0054674B"/>
    <w:rsid w:val="00551EE3"/>
    <w:rsid w:val="00553F1B"/>
    <w:rsid w:val="005542E7"/>
    <w:rsid w:val="0055480C"/>
    <w:rsid w:val="00555EEF"/>
    <w:rsid w:val="005573D9"/>
    <w:rsid w:val="005600A3"/>
    <w:rsid w:val="00561836"/>
    <w:rsid w:val="005629FD"/>
    <w:rsid w:val="00563146"/>
    <w:rsid w:val="00566905"/>
    <w:rsid w:val="00567062"/>
    <w:rsid w:val="005703D2"/>
    <w:rsid w:val="005731E9"/>
    <w:rsid w:val="00575724"/>
    <w:rsid w:val="005823BF"/>
    <w:rsid w:val="0058256D"/>
    <w:rsid w:val="00583012"/>
    <w:rsid w:val="00583DBF"/>
    <w:rsid w:val="0058592A"/>
    <w:rsid w:val="00585AE5"/>
    <w:rsid w:val="00585EB8"/>
    <w:rsid w:val="0058781B"/>
    <w:rsid w:val="00587ED5"/>
    <w:rsid w:val="00591D3C"/>
    <w:rsid w:val="00593BC8"/>
    <w:rsid w:val="0059652F"/>
    <w:rsid w:val="00596CA8"/>
    <w:rsid w:val="00596ED0"/>
    <w:rsid w:val="00597920"/>
    <w:rsid w:val="005A0BFE"/>
    <w:rsid w:val="005A193D"/>
    <w:rsid w:val="005A1E89"/>
    <w:rsid w:val="005A3034"/>
    <w:rsid w:val="005A328C"/>
    <w:rsid w:val="005A39F2"/>
    <w:rsid w:val="005A48A3"/>
    <w:rsid w:val="005A74A9"/>
    <w:rsid w:val="005A7558"/>
    <w:rsid w:val="005B196A"/>
    <w:rsid w:val="005B1AB9"/>
    <w:rsid w:val="005B447A"/>
    <w:rsid w:val="005B4EBF"/>
    <w:rsid w:val="005B5606"/>
    <w:rsid w:val="005B5B28"/>
    <w:rsid w:val="005C011F"/>
    <w:rsid w:val="005C06CF"/>
    <w:rsid w:val="005C0B8A"/>
    <w:rsid w:val="005C3189"/>
    <w:rsid w:val="005C4134"/>
    <w:rsid w:val="005C5376"/>
    <w:rsid w:val="005C77D3"/>
    <w:rsid w:val="005D0525"/>
    <w:rsid w:val="005D11F9"/>
    <w:rsid w:val="005D25CA"/>
    <w:rsid w:val="005D2C01"/>
    <w:rsid w:val="005D31FF"/>
    <w:rsid w:val="005D501B"/>
    <w:rsid w:val="005D55FB"/>
    <w:rsid w:val="005E4A59"/>
    <w:rsid w:val="005E4D96"/>
    <w:rsid w:val="005E7E5E"/>
    <w:rsid w:val="005F0DAC"/>
    <w:rsid w:val="005F176E"/>
    <w:rsid w:val="005F3627"/>
    <w:rsid w:val="005F48B4"/>
    <w:rsid w:val="005F4E7A"/>
    <w:rsid w:val="005F65B3"/>
    <w:rsid w:val="005F6C3E"/>
    <w:rsid w:val="006001DA"/>
    <w:rsid w:val="006007D0"/>
    <w:rsid w:val="006031A0"/>
    <w:rsid w:val="00603CA0"/>
    <w:rsid w:val="00605CB2"/>
    <w:rsid w:val="00606482"/>
    <w:rsid w:val="00610B36"/>
    <w:rsid w:val="006139AB"/>
    <w:rsid w:val="00614A1B"/>
    <w:rsid w:val="0061577B"/>
    <w:rsid w:val="00617ED7"/>
    <w:rsid w:val="00620118"/>
    <w:rsid w:val="006206AF"/>
    <w:rsid w:val="006215ED"/>
    <w:rsid w:val="00623A3F"/>
    <w:rsid w:val="00623F2D"/>
    <w:rsid w:val="0062702D"/>
    <w:rsid w:val="00627B30"/>
    <w:rsid w:val="0063159B"/>
    <w:rsid w:val="00632EBE"/>
    <w:rsid w:val="00633364"/>
    <w:rsid w:val="00633C48"/>
    <w:rsid w:val="00634BC7"/>
    <w:rsid w:val="0064271A"/>
    <w:rsid w:val="00642813"/>
    <w:rsid w:val="00644E72"/>
    <w:rsid w:val="0064778B"/>
    <w:rsid w:val="00650509"/>
    <w:rsid w:val="00650D73"/>
    <w:rsid w:val="00652EAF"/>
    <w:rsid w:val="0065492C"/>
    <w:rsid w:val="00656E21"/>
    <w:rsid w:val="00660AA4"/>
    <w:rsid w:val="006623AF"/>
    <w:rsid w:val="006635B3"/>
    <w:rsid w:val="00664224"/>
    <w:rsid w:val="00664E42"/>
    <w:rsid w:val="00665029"/>
    <w:rsid w:val="00665DAC"/>
    <w:rsid w:val="006669FA"/>
    <w:rsid w:val="00667AE5"/>
    <w:rsid w:val="006702F0"/>
    <w:rsid w:val="0067056E"/>
    <w:rsid w:val="006706B1"/>
    <w:rsid w:val="00672489"/>
    <w:rsid w:val="00677457"/>
    <w:rsid w:val="006802B0"/>
    <w:rsid w:val="006824BB"/>
    <w:rsid w:val="006827F6"/>
    <w:rsid w:val="006844F3"/>
    <w:rsid w:val="006845DA"/>
    <w:rsid w:val="006850E0"/>
    <w:rsid w:val="00690B20"/>
    <w:rsid w:val="00691E4F"/>
    <w:rsid w:val="0069302A"/>
    <w:rsid w:val="00693A38"/>
    <w:rsid w:val="00694386"/>
    <w:rsid w:val="00694BCA"/>
    <w:rsid w:val="00696B74"/>
    <w:rsid w:val="00697414"/>
    <w:rsid w:val="006A0E20"/>
    <w:rsid w:val="006A2071"/>
    <w:rsid w:val="006A2183"/>
    <w:rsid w:val="006A30B1"/>
    <w:rsid w:val="006A386D"/>
    <w:rsid w:val="006A4EF4"/>
    <w:rsid w:val="006A56F9"/>
    <w:rsid w:val="006A608F"/>
    <w:rsid w:val="006A63DB"/>
    <w:rsid w:val="006B0E8E"/>
    <w:rsid w:val="006B4DF3"/>
    <w:rsid w:val="006B6852"/>
    <w:rsid w:val="006C42B8"/>
    <w:rsid w:val="006C46AD"/>
    <w:rsid w:val="006C7934"/>
    <w:rsid w:val="006C7FCF"/>
    <w:rsid w:val="006D0E25"/>
    <w:rsid w:val="006D3663"/>
    <w:rsid w:val="006D3C67"/>
    <w:rsid w:val="006D4D35"/>
    <w:rsid w:val="006D5E40"/>
    <w:rsid w:val="006D6C44"/>
    <w:rsid w:val="006D7EE0"/>
    <w:rsid w:val="006E1CC9"/>
    <w:rsid w:val="006E1E51"/>
    <w:rsid w:val="006E286D"/>
    <w:rsid w:val="006E3425"/>
    <w:rsid w:val="006E596A"/>
    <w:rsid w:val="006E6121"/>
    <w:rsid w:val="006E71B4"/>
    <w:rsid w:val="006E7689"/>
    <w:rsid w:val="006F26B2"/>
    <w:rsid w:val="006F3284"/>
    <w:rsid w:val="006F368C"/>
    <w:rsid w:val="006F391E"/>
    <w:rsid w:val="007018F2"/>
    <w:rsid w:val="00701EAA"/>
    <w:rsid w:val="00703DAB"/>
    <w:rsid w:val="007048B3"/>
    <w:rsid w:val="00706121"/>
    <w:rsid w:val="00710327"/>
    <w:rsid w:val="00711641"/>
    <w:rsid w:val="00712A4E"/>
    <w:rsid w:val="00712AC8"/>
    <w:rsid w:val="00713D30"/>
    <w:rsid w:val="007141F2"/>
    <w:rsid w:val="00714285"/>
    <w:rsid w:val="00714B3B"/>
    <w:rsid w:val="00714CF0"/>
    <w:rsid w:val="00715896"/>
    <w:rsid w:val="0071634A"/>
    <w:rsid w:val="00717598"/>
    <w:rsid w:val="0071781B"/>
    <w:rsid w:val="00717909"/>
    <w:rsid w:val="00720007"/>
    <w:rsid w:val="00720A85"/>
    <w:rsid w:val="007252D0"/>
    <w:rsid w:val="00727C7E"/>
    <w:rsid w:val="00727EB4"/>
    <w:rsid w:val="00730C5D"/>
    <w:rsid w:val="00731256"/>
    <w:rsid w:val="00733824"/>
    <w:rsid w:val="00735D83"/>
    <w:rsid w:val="00737931"/>
    <w:rsid w:val="00737F23"/>
    <w:rsid w:val="00740239"/>
    <w:rsid w:val="0074118E"/>
    <w:rsid w:val="007415BB"/>
    <w:rsid w:val="0074306D"/>
    <w:rsid w:val="007455D5"/>
    <w:rsid w:val="00746B5F"/>
    <w:rsid w:val="007478FA"/>
    <w:rsid w:val="00750D15"/>
    <w:rsid w:val="007514C3"/>
    <w:rsid w:val="0075362A"/>
    <w:rsid w:val="00753959"/>
    <w:rsid w:val="00753C35"/>
    <w:rsid w:val="00754CCF"/>
    <w:rsid w:val="00755312"/>
    <w:rsid w:val="00755ACF"/>
    <w:rsid w:val="0075625A"/>
    <w:rsid w:val="007563BC"/>
    <w:rsid w:val="00756D65"/>
    <w:rsid w:val="007578AA"/>
    <w:rsid w:val="00757C7C"/>
    <w:rsid w:val="00760B68"/>
    <w:rsid w:val="007611A4"/>
    <w:rsid w:val="007618F6"/>
    <w:rsid w:val="0076296A"/>
    <w:rsid w:val="00762C3A"/>
    <w:rsid w:val="007646E6"/>
    <w:rsid w:val="00765180"/>
    <w:rsid w:val="00767B38"/>
    <w:rsid w:val="00770188"/>
    <w:rsid w:val="007702C1"/>
    <w:rsid w:val="007712EF"/>
    <w:rsid w:val="0077135F"/>
    <w:rsid w:val="007727E5"/>
    <w:rsid w:val="007746C6"/>
    <w:rsid w:val="007765EC"/>
    <w:rsid w:val="00782C5B"/>
    <w:rsid w:val="00783B9F"/>
    <w:rsid w:val="007850BD"/>
    <w:rsid w:val="007861DC"/>
    <w:rsid w:val="00786FD7"/>
    <w:rsid w:val="0079234B"/>
    <w:rsid w:val="00793573"/>
    <w:rsid w:val="0079396A"/>
    <w:rsid w:val="00793FA0"/>
    <w:rsid w:val="007962EC"/>
    <w:rsid w:val="00797164"/>
    <w:rsid w:val="00797BC6"/>
    <w:rsid w:val="007A1188"/>
    <w:rsid w:val="007A25B8"/>
    <w:rsid w:val="007A2E3A"/>
    <w:rsid w:val="007A476B"/>
    <w:rsid w:val="007A4AEA"/>
    <w:rsid w:val="007A55A6"/>
    <w:rsid w:val="007A5E83"/>
    <w:rsid w:val="007A6343"/>
    <w:rsid w:val="007B065A"/>
    <w:rsid w:val="007B09D7"/>
    <w:rsid w:val="007B1658"/>
    <w:rsid w:val="007B2CF2"/>
    <w:rsid w:val="007B3329"/>
    <w:rsid w:val="007B3476"/>
    <w:rsid w:val="007B362C"/>
    <w:rsid w:val="007B4316"/>
    <w:rsid w:val="007B5524"/>
    <w:rsid w:val="007B6392"/>
    <w:rsid w:val="007B72B5"/>
    <w:rsid w:val="007C0DAB"/>
    <w:rsid w:val="007C10BF"/>
    <w:rsid w:val="007C1289"/>
    <w:rsid w:val="007C171C"/>
    <w:rsid w:val="007C3B99"/>
    <w:rsid w:val="007C4400"/>
    <w:rsid w:val="007C4881"/>
    <w:rsid w:val="007C5384"/>
    <w:rsid w:val="007C6C70"/>
    <w:rsid w:val="007C7490"/>
    <w:rsid w:val="007C78FC"/>
    <w:rsid w:val="007C7A65"/>
    <w:rsid w:val="007D0D3D"/>
    <w:rsid w:val="007D3179"/>
    <w:rsid w:val="007D689B"/>
    <w:rsid w:val="007D7666"/>
    <w:rsid w:val="007E0203"/>
    <w:rsid w:val="007E06B7"/>
    <w:rsid w:val="007E0C49"/>
    <w:rsid w:val="007E0DDE"/>
    <w:rsid w:val="007E1B37"/>
    <w:rsid w:val="007E1DDB"/>
    <w:rsid w:val="007E2148"/>
    <w:rsid w:val="007E23D3"/>
    <w:rsid w:val="007E254E"/>
    <w:rsid w:val="007E26E5"/>
    <w:rsid w:val="007E2D0B"/>
    <w:rsid w:val="007E2DFC"/>
    <w:rsid w:val="007E4A02"/>
    <w:rsid w:val="007E5865"/>
    <w:rsid w:val="007E5DAD"/>
    <w:rsid w:val="007F0601"/>
    <w:rsid w:val="007F0F41"/>
    <w:rsid w:val="007F3284"/>
    <w:rsid w:val="007F47FE"/>
    <w:rsid w:val="007F70BC"/>
    <w:rsid w:val="007F7938"/>
    <w:rsid w:val="007F7EC2"/>
    <w:rsid w:val="00801D10"/>
    <w:rsid w:val="0080208B"/>
    <w:rsid w:val="008026C7"/>
    <w:rsid w:val="00802FE6"/>
    <w:rsid w:val="008035F9"/>
    <w:rsid w:val="00803A00"/>
    <w:rsid w:val="00804E79"/>
    <w:rsid w:val="008068EC"/>
    <w:rsid w:val="00807000"/>
    <w:rsid w:val="00810086"/>
    <w:rsid w:val="00810C1A"/>
    <w:rsid w:val="00811568"/>
    <w:rsid w:val="00811BFD"/>
    <w:rsid w:val="00812092"/>
    <w:rsid w:val="0081275B"/>
    <w:rsid w:val="00813BBA"/>
    <w:rsid w:val="00813F32"/>
    <w:rsid w:val="00814087"/>
    <w:rsid w:val="00814274"/>
    <w:rsid w:val="0081465B"/>
    <w:rsid w:val="008148B8"/>
    <w:rsid w:val="00815093"/>
    <w:rsid w:val="00815ED1"/>
    <w:rsid w:val="00817E5E"/>
    <w:rsid w:val="00820D64"/>
    <w:rsid w:val="00820FD3"/>
    <w:rsid w:val="00821B15"/>
    <w:rsid w:val="00822B63"/>
    <w:rsid w:val="00824074"/>
    <w:rsid w:val="00824C57"/>
    <w:rsid w:val="00824FAA"/>
    <w:rsid w:val="00826CA6"/>
    <w:rsid w:val="00826E0E"/>
    <w:rsid w:val="00826FD1"/>
    <w:rsid w:val="0083104B"/>
    <w:rsid w:val="00831DB3"/>
    <w:rsid w:val="00832A9C"/>
    <w:rsid w:val="00832BED"/>
    <w:rsid w:val="00837F1B"/>
    <w:rsid w:val="0084020E"/>
    <w:rsid w:val="0084035F"/>
    <w:rsid w:val="008411A0"/>
    <w:rsid w:val="00841C44"/>
    <w:rsid w:val="0084276F"/>
    <w:rsid w:val="008432AD"/>
    <w:rsid w:val="00843778"/>
    <w:rsid w:val="008441EB"/>
    <w:rsid w:val="008450D4"/>
    <w:rsid w:val="00846827"/>
    <w:rsid w:val="008479A3"/>
    <w:rsid w:val="00847BD5"/>
    <w:rsid w:val="00850245"/>
    <w:rsid w:val="0085078D"/>
    <w:rsid w:val="00851A64"/>
    <w:rsid w:val="00851F85"/>
    <w:rsid w:val="0085217D"/>
    <w:rsid w:val="008522B1"/>
    <w:rsid w:val="008533D4"/>
    <w:rsid w:val="00855687"/>
    <w:rsid w:val="00856579"/>
    <w:rsid w:val="00856959"/>
    <w:rsid w:val="0085698A"/>
    <w:rsid w:val="008637C1"/>
    <w:rsid w:val="0086468F"/>
    <w:rsid w:val="00866DB0"/>
    <w:rsid w:val="00870D0C"/>
    <w:rsid w:val="00872E4F"/>
    <w:rsid w:val="00873068"/>
    <w:rsid w:val="008732CF"/>
    <w:rsid w:val="008734E3"/>
    <w:rsid w:val="00873B07"/>
    <w:rsid w:val="00875AE6"/>
    <w:rsid w:val="00876F31"/>
    <w:rsid w:val="00877081"/>
    <w:rsid w:val="008777C3"/>
    <w:rsid w:val="008801AE"/>
    <w:rsid w:val="00882008"/>
    <w:rsid w:val="008843E0"/>
    <w:rsid w:val="00887640"/>
    <w:rsid w:val="00887EA0"/>
    <w:rsid w:val="00890902"/>
    <w:rsid w:val="00891359"/>
    <w:rsid w:val="00893452"/>
    <w:rsid w:val="008966D6"/>
    <w:rsid w:val="008A0EDB"/>
    <w:rsid w:val="008A1F69"/>
    <w:rsid w:val="008A2C5B"/>
    <w:rsid w:val="008A2F95"/>
    <w:rsid w:val="008A36DD"/>
    <w:rsid w:val="008A4C70"/>
    <w:rsid w:val="008A56B1"/>
    <w:rsid w:val="008A6040"/>
    <w:rsid w:val="008A60E6"/>
    <w:rsid w:val="008A7B24"/>
    <w:rsid w:val="008B0323"/>
    <w:rsid w:val="008B0926"/>
    <w:rsid w:val="008B1C28"/>
    <w:rsid w:val="008B4937"/>
    <w:rsid w:val="008B5F36"/>
    <w:rsid w:val="008B5F7E"/>
    <w:rsid w:val="008B681F"/>
    <w:rsid w:val="008B7266"/>
    <w:rsid w:val="008B7C8C"/>
    <w:rsid w:val="008C097F"/>
    <w:rsid w:val="008C1166"/>
    <w:rsid w:val="008C12F6"/>
    <w:rsid w:val="008C2D5A"/>
    <w:rsid w:val="008C31D7"/>
    <w:rsid w:val="008C38A6"/>
    <w:rsid w:val="008C403B"/>
    <w:rsid w:val="008C4D29"/>
    <w:rsid w:val="008C4FA0"/>
    <w:rsid w:val="008C6053"/>
    <w:rsid w:val="008C69CC"/>
    <w:rsid w:val="008C6ABA"/>
    <w:rsid w:val="008C6B1F"/>
    <w:rsid w:val="008C6D5F"/>
    <w:rsid w:val="008C7BD3"/>
    <w:rsid w:val="008D0678"/>
    <w:rsid w:val="008D0B90"/>
    <w:rsid w:val="008D16EC"/>
    <w:rsid w:val="008D262A"/>
    <w:rsid w:val="008D354F"/>
    <w:rsid w:val="008D485F"/>
    <w:rsid w:val="008E02DC"/>
    <w:rsid w:val="008E182E"/>
    <w:rsid w:val="008E2064"/>
    <w:rsid w:val="008E2CB8"/>
    <w:rsid w:val="008E318E"/>
    <w:rsid w:val="008E43C7"/>
    <w:rsid w:val="008E4A9B"/>
    <w:rsid w:val="008E4ED6"/>
    <w:rsid w:val="008E5EF0"/>
    <w:rsid w:val="008E714A"/>
    <w:rsid w:val="008E725E"/>
    <w:rsid w:val="008F17C3"/>
    <w:rsid w:val="008F2B9D"/>
    <w:rsid w:val="008F5620"/>
    <w:rsid w:val="008F62BD"/>
    <w:rsid w:val="008F6FCC"/>
    <w:rsid w:val="008F7328"/>
    <w:rsid w:val="008F7563"/>
    <w:rsid w:val="008F772A"/>
    <w:rsid w:val="0090064E"/>
    <w:rsid w:val="00900793"/>
    <w:rsid w:val="009078CD"/>
    <w:rsid w:val="00907E49"/>
    <w:rsid w:val="00907EFD"/>
    <w:rsid w:val="00907FDE"/>
    <w:rsid w:val="0091014A"/>
    <w:rsid w:val="009101B3"/>
    <w:rsid w:val="00912628"/>
    <w:rsid w:val="009134CB"/>
    <w:rsid w:val="0091400B"/>
    <w:rsid w:val="00914767"/>
    <w:rsid w:val="00915022"/>
    <w:rsid w:val="009151D4"/>
    <w:rsid w:val="00915975"/>
    <w:rsid w:val="00916757"/>
    <w:rsid w:val="00916EA9"/>
    <w:rsid w:val="00916FB5"/>
    <w:rsid w:val="009204E0"/>
    <w:rsid w:val="0092087D"/>
    <w:rsid w:val="009235E5"/>
    <w:rsid w:val="00924DD0"/>
    <w:rsid w:val="00926807"/>
    <w:rsid w:val="00926C65"/>
    <w:rsid w:val="00926D74"/>
    <w:rsid w:val="00930FA4"/>
    <w:rsid w:val="0093114B"/>
    <w:rsid w:val="00933F22"/>
    <w:rsid w:val="009346EA"/>
    <w:rsid w:val="009353D4"/>
    <w:rsid w:val="00935E2D"/>
    <w:rsid w:val="009364AB"/>
    <w:rsid w:val="00937646"/>
    <w:rsid w:val="0094042B"/>
    <w:rsid w:val="00941E29"/>
    <w:rsid w:val="00941EF9"/>
    <w:rsid w:val="0094542D"/>
    <w:rsid w:val="00947786"/>
    <w:rsid w:val="00950804"/>
    <w:rsid w:val="00951139"/>
    <w:rsid w:val="009511B9"/>
    <w:rsid w:val="0095167D"/>
    <w:rsid w:val="009516DD"/>
    <w:rsid w:val="00951D59"/>
    <w:rsid w:val="00952D6B"/>
    <w:rsid w:val="00954962"/>
    <w:rsid w:val="009551C4"/>
    <w:rsid w:val="00955BBA"/>
    <w:rsid w:val="0095640A"/>
    <w:rsid w:val="00957D6E"/>
    <w:rsid w:val="00960261"/>
    <w:rsid w:val="00960302"/>
    <w:rsid w:val="00961E07"/>
    <w:rsid w:val="00962239"/>
    <w:rsid w:val="00962B36"/>
    <w:rsid w:val="00963F44"/>
    <w:rsid w:val="00964C39"/>
    <w:rsid w:val="00966D2D"/>
    <w:rsid w:val="00966D50"/>
    <w:rsid w:val="009701EA"/>
    <w:rsid w:val="009710C8"/>
    <w:rsid w:val="00971844"/>
    <w:rsid w:val="00972490"/>
    <w:rsid w:val="00972F81"/>
    <w:rsid w:val="00974398"/>
    <w:rsid w:val="00977B84"/>
    <w:rsid w:val="009809E2"/>
    <w:rsid w:val="00983B0B"/>
    <w:rsid w:val="00987F13"/>
    <w:rsid w:val="00990F09"/>
    <w:rsid w:val="009930F6"/>
    <w:rsid w:val="00994246"/>
    <w:rsid w:val="00994AF4"/>
    <w:rsid w:val="009950E1"/>
    <w:rsid w:val="00995249"/>
    <w:rsid w:val="00995898"/>
    <w:rsid w:val="009A1681"/>
    <w:rsid w:val="009A35D3"/>
    <w:rsid w:val="009A5249"/>
    <w:rsid w:val="009A5558"/>
    <w:rsid w:val="009A5DB5"/>
    <w:rsid w:val="009A67D1"/>
    <w:rsid w:val="009A7F36"/>
    <w:rsid w:val="009B1318"/>
    <w:rsid w:val="009B1B16"/>
    <w:rsid w:val="009B289E"/>
    <w:rsid w:val="009B2A7D"/>
    <w:rsid w:val="009B3EEC"/>
    <w:rsid w:val="009B4A5F"/>
    <w:rsid w:val="009C14CF"/>
    <w:rsid w:val="009C1A81"/>
    <w:rsid w:val="009C38F0"/>
    <w:rsid w:val="009C529F"/>
    <w:rsid w:val="009C6B24"/>
    <w:rsid w:val="009C74B9"/>
    <w:rsid w:val="009D0182"/>
    <w:rsid w:val="009D054D"/>
    <w:rsid w:val="009D20AC"/>
    <w:rsid w:val="009D2D67"/>
    <w:rsid w:val="009D49FB"/>
    <w:rsid w:val="009D5A97"/>
    <w:rsid w:val="009D5B61"/>
    <w:rsid w:val="009D5D23"/>
    <w:rsid w:val="009E12D2"/>
    <w:rsid w:val="009E3307"/>
    <w:rsid w:val="009E3A16"/>
    <w:rsid w:val="009E3EDD"/>
    <w:rsid w:val="009E4034"/>
    <w:rsid w:val="009E63AE"/>
    <w:rsid w:val="009E7600"/>
    <w:rsid w:val="009E7CA7"/>
    <w:rsid w:val="009F038A"/>
    <w:rsid w:val="009F16BF"/>
    <w:rsid w:val="009F193F"/>
    <w:rsid w:val="009F237B"/>
    <w:rsid w:val="009F2EE1"/>
    <w:rsid w:val="009F5BDC"/>
    <w:rsid w:val="009F5DF3"/>
    <w:rsid w:val="009F7B60"/>
    <w:rsid w:val="00A00EDA"/>
    <w:rsid w:val="00A017FE"/>
    <w:rsid w:val="00A04D7B"/>
    <w:rsid w:val="00A052F8"/>
    <w:rsid w:val="00A06FC6"/>
    <w:rsid w:val="00A072B6"/>
    <w:rsid w:val="00A13614"/>
    <w:rsid w:val="00A13A7D"/>
    <w:rsid w:val="00A1793B"/>
    <w:rsid w:val="00A20D8C"/>
    <w:rsid w:val="00A2197A"/>
    <w:rsid w:val="00A235F8"/>
    <w:rsid w:val="00A23778"/>
    <w:rsid w:val="00A23819"/>
    <w:rsid w:val="00A2556B"/>
    <w:rsid w:val="00A26DAC"/>
    <w:rsid w:val="00A27983"/>
    <w:rsid w:val="00A30263"/>
    <w:rsid w:val="00A309F2"/>
    <w:rsid w:val="00A3174E"/>
    <w:rsid w:val="00A3196D"/>
    <w:rsid w:val="00A31F52"/>
    <w:rsid w:val="00A328E3"/>
    <w:rsid w:val="00A33878"/>
    <w:rsid w:val="00A33AF6"/>
    <w:rsid w:val="00A33B81"/>
    <w:rsid w:val="00A3402C"/>
    <w:rsid w:val="00A37AB8"/>
    <w:rsid w:val="00A37C06"/>
    <w:rsid w:val="00A40134"/>
    <w:rsid w:val="00A40EF5"/>
    <w:rsid w:val="00A44635"/>
    <w:rsid w:val="00A453BD"/>
    <w:rsid w:val="00A4588D"/>
    <w:rsid w:val="00A45A1F"/>
    <w:rsid w:val="00A466A5"/>
    <w:rsid w:val="00A469E7"/>
    <w:rsid w:val="00A50DC6"/>
    <w:rsid w:val="00A5101E"/>
    <w:rsid w:val="00A52B08"/>
    <w:rsid w:val="00A534E6"/>
    <w:rsid w:val="00A53DBB"/>
    <w:rsid w:val="00A54FE0"/>
    <w:rsid w:val="00A56A8D"/>
    <w:rsid w:val="00A57552"/>
    <w:rsid w:val="00A60931"/>
    <w:rsid w:val="00A60FF2"/>
    <w:rsid w:val="00A61D7F"/>
    <w:rsid w:val="00A61E99"/>
    <w:rsid w:val="00A62615"/>
    <w:rsid w:val="00A631EB"/>
    <w:rsid w:val="00A63386"/>
    <w:rsid w:val="00A63659"/>
    <w:rsid w:val="00A63ADD"/>
    <w:rsid w:val="00A6416B"/>
    <w:rsid w:val="00A64E9B"/>
    <w:rsid w:val="00A65A69"/>
    <w:rsid w:val="00A66D7E"/>
    <w:rsid w:val="00A66DBD"/>
    <w:rsid w:val="00A70CF3"/>
    <w:rsid w:val="00A70DD6"/>
    <w:rsid w:val="00A73509"/>
    <w:rsid w:val="00A75177"/>
    <w:rsid w:val="00A75675"/>
    <w:rsid w:val="00A77ABB"/>
    <w:rsid w:val="00A81CBB"/>
    <w:rsid w:val="00A82C8D"/>
    <w:rsid w:val="00A82C9B"/>
    <w:rsid w:val="00A8381F"/>
    <w:rsid w:val="00A83A6D"/>
    <w:rsid w:val="00A83BE1"/>
    <w:rsid w:val="00A8507C"/>
    <w:rsid w:val="00A86882"/>
    <w:rsid w:val="00A86B21"/>
    <w:rsid w:val="00A87ADC"/>
    <w:rsid w:val="00A90C87"/>
    <w:rsid w:val="00A90E31"/>
    <w:rsid w:val="00A913C4"/>
    <w:rsid w:val="00A92D99"/>
    <w:rsid w:val="00A934F9"/>
    <w:rsid w:val="00A94603"/>
    <w:rsid w:val="00A952D7"/>
    <w:rsid w:val="00A96A83"/>
    <w:rsid w:val="00A97AA0"/>
    <w:rsid w:val="00AA08A8"/>
    <w:rsid w:val="00AA1314"/>
    <w:rsid w:val="00AA1557"/>
    <w:rsid w:val="00AA2826"/>
    <w:rsid w:val="00AA49A1"/>
    <w:rsid w:val="00AA6B67"/>
    <w:rsid w:val="00AA7C78"/>
    <w:rsid w:val="00AB1E6B"/>
    <w:rsid w:val="00AB2C8F"/>
    <w:rsid w:val="00AB3B9B"/>
    <w:rsid w:val="00AB6D0C"/>
    <w:rsid w:val="00AB7700"/>
    <w:rsid w:val="00AC05FC"/>
    <w:rsid w:val="00AC25E2"/>
    <w:rsid w:val="00AC354D"/>
    <w:rsid w:val="00AC3900"/>
    <w:rsid w:val="00AC4622"/>
    <w:rsid w:val="00AC5C55"/>
    <w:rsid w:val="00AC5CE5"/>
    <w:rsid w:val="00AC5DF6"/>
    <w:rsid w:val="00AC6340"/>
    <w:rsid w:val="00AC6E3F"/>
    <w:rsid w:val="00AD07B4"/>
    <w:rsid w:val="00AD1C65"/>
    <w:rsid w:val="00AD278B"/>
    <w:rsid w:val="00AD7140"/>
    <w:rsid w:val="00AE0555"/>
    <w:rsid w:val="00AE2F27"/>
    <w:rsid w:val="00AE30B5"/>
    <w:rsid w:val="00AE3FC2"/>
    <w:rsid w:val="00AE5ECB"/>
    <w:rsid w:val="00AE6321"/>
    <w:rsid w:val="00AE79B4"/>
    <w:rsid w:val="00AF086A"/>
    <w:rsid w:val="00AF4491"/>
    <w:rsid w:val="00AF4B3F"/>
    <w:rsid w:val="00AF5480"/>
    <w:rsid w:val="00B0071C"/>
    <w:rsid w:val="00B00C7A"/>
    <w:rsid w:val="00B012AB"/>
    <w:rsid w:val="00B01B4C"/>
    <w:rsid w:val="00B020C5"/>
    <w:rsid w:val="00B02B04"/>
    <w:rsid w:val="00B02E8B"/>
    <w:rsid w:val="00B03172"/>
    <w:rsid w:val="00B03BFB"/>
    <w:rsid w:val="00B055F2"/>
    <w:rsid w:val="00B0583B"/>
    <w:rsid w:val="00B06831"/>
    <w:rsid w:val="00B10AD9"/>
    <w:rsid w:val="00B131DD"/>
    <w:rsid w:val="00B14B8B"/>
    <w:rsid w:val="00B16C66"/>
    <w:rsid w:val="00B1744F"/>
    <w:rsid w:val="00B20037"/>
    <w:rsid w:val="00B2004F"/>
    <w:rsid w:val="00B20132"/>
    <w:rsid w:val="00B208E0"/>
    <w:rsid w:val="00B21675"/>
    <w:rsid w:val="00B21A3E"/>
    <w:rsid w:val="00B21E4E"/>
    <w:rsid w:val="00B222C1"/>
    <w:rsid w:val="00B24808"/>
    <w:rsid w:val="00B2674D"/>
    <w:rsid w:val="00B27B15"/>
    <w:rsid w:val="00B31AFB"/>
    <w:rsid w:val="00B32004"/>
    <w:rsid w:val="00B32069"/>
    <w:rsid w:val="00B3225F"/>
    <w:rsid w:val="00B326D2"/>
    <w:rsid w:val="00B32BC9"/>
    <w:rsid w:val="00B339FC"/>
    <w:rsid w:val="00B37146"/>
    <w:rsid w:val="00B376CA"/>
    <w:rsid w:val="00B41EAF"/>
    <w:rsid w:val="00B4223C"/>
    <w:rsid w:val="00B42A75"/>
    <w:rsid w:val="00B43CD1"/>
    <w:rsid w:val="00B4481D"/>
    <w:rsid w:val="00B45422"/>
    <w:rsid w:val="00B47565"/>
    <w:rsid w:val="00B47C33"/>
    <w:rsid w:val="00B520A5"/>
    <w:rsid w:val="00B52A42"/>
    <w:rsid w:val="00B52B6D"/>
    <w:rsid w:val="00B55B09"/>
    <w:rsid w:val="00B55E59"/>
    <w:rsid w:val="00B56890"/>
    <w:rsid w:val="00B600D4"/>
    <w:rsid w:val="00B6038A"/>
    <w:rsid w:val="00B60C23"/>
    <w:rsid w:val="00B610E6"/>
    <w:rsid w:val="00B6157B"/>
    <w:rsid w:val="00B621E8"/>
    <w:rsid w:val="00B62502"/>
    <w:rsid w:val="00B62D54"/>
    <w:rsid w:val="00B62E3C"/>
    <w:rsid w:val="00B63DE2"/>
    <w:rsid w:val="00B643BC"/>
    <w:rsid w:val="00B64774"/>
    <w:rsid w:val="00B6666E"/>
    <w:rsid w:val="00B66703"/>
    <w:rsid w:val="00B70CBC"/>
    <w:rsid w:val="00B71338"/>
    <w:rsid w:val="00B71F80"/>
    <w:rsid w:val="00B72528"/>
    <w:rsid w:val="00B727A6"/>
    <w:rsid w:val="00B732D9"/>
    <w:rsid w:val="00B76337"/>
    <w:rsid w:val="00B7707F"/>
    <w:rsid w:val="00B77C93"/>
    <w:rsid w:val="00B8165A"/>
    <w:rsid w:val="00B83064"/>
    <w:rsid w:val="00B83A8B"/>
    <w:rsid w:val="00B853B0"/>
    <w:rsid w:val="00B85A81"/>
    <w:rsid w:val="00B86436"/>
    <w:rsid w:val="00B87138"/>
    <w:rsid w:val="00B877FC"/>
    <w:rsid w:val="00B87C6B"/>
    <w:rsid w:val="00B87E29"/>
    <w:rsid w:val="00B9088B"/>
    <w:rsid w:val="00B93AAA"/>
    <w:rsid w:val="00B95C10"/>
    <w:rsid w:val="00B96670"/>
    <w:rsid w:val="00B975AA"/>
    <w:rsid w:val="00B9783A"/>
    <w:rsid w:val="00BA0ECB"/>
    <w:rsid w:val="00BA18D5"/>
    <w:rsid w:val="00BA5A83"/>
    <w:rsid w:val="00BA6058"/>
    <w:rsid w:val="00BA615D"/>
    <w:rsid w:val="00BA7A7E"/>
    <w:rsid w:val="00BA7ED3"/>
    <w:rsid w:val="00BB0895"/>
    <w:rsid w:val="00BB0E2B"/>
    <w:rsid w:val="00BB1B5E"/>
    <w:rsid w:val="00BB2248"/>
    <w:rsid w:val="00BB2445"/>
    <w:rsid w:val="00BB3E75"/>
    <w:rsid w:val="00BB52FD"/>
    <w:rsid w:val="00BB550C"/>
    <w:rsid w:val="00BB5987"/>
    <w:rsid w:val="00BB5BCC"/>
    <w:rsid w:val="00BB5ED1"/>
    <w:rsid w:val="00BB726F"/>
    <w:rsid w:val="00BB75F3"/>
    <w:rsid w:val="00BB7AA2"/>
    <w:rsid w:val="00BC1470"/>
    <w:rsid w:val="00BC1796"/>
    <w:rsid w:val="00BC22BA"/>
    <w:rsid w:val="00BC25A4"/>
    <w:rsid w:val="00BC3169"/>
    <w:rsid w:val="00BC336C"/>
    <w:rsid w:val="00BC7F6F"/>
    <w:rsid w:val="00BD180B"/>
    <w:rsid w:val="00BD2C6D"/>
    <w:rsid w:val="00BD496A"/>
    <w:rsid w:val="00BD5143"/>
    <w:rsid w:val="00BD57ED"/>
    <w:rsid w:val="00BE008C"/>
    <w:rsid w:val="00BE00D9"/>
    <w:rsid w:val="00BE0659"/>
    <w:rsid w:val="00BE1598"/>
    <w:rsid w:val="00BE1BBE"/>
    <w:rsid w:val="00BE4201"/>
    <w:rsid w:val="00BE458E"/>
    <w:rsid w:val="00BE72F2"/>
    <w:rsid w:val="00BF0819"/>
    <w:rsid w:val="00BF2681"/>
    <w:rsid w:val="00BF3118"/>
    <w:rsid w:val="00BF3DC2"/>
    <w:rsid w:val="00BF6414"/>
    <w:rsid w:val="00BF7318"/>
    <w:rsid w:val="00C04A96"/>
    <w:rsid w:val="00C04C7F"/>
    <w:rsid w:val="00C05E80"/>
    <w:rsid w:val="00C1113F"/>
    <w:rsid w:val="00C12336"/>
    <w:rsid w:val="00C14C1B"/>
    <w:rsid w:val="00C15113"/>
    <w:rsid w:val="00C17A5D"/>
    <w:rsid w:val="00C17F26"/>
    <w:rsid w:val="00C20283"/>
    <w:rsid w:val="00C209B3"/>
    <w:rsid w:val="00C20EC1"/>
    <w:rsid w:val="00C21152"/>
    <w:rsid w:val="00C21C42"/>
    <w:rsid w:val="00C22B2C"/>
    <w:rsid w:val="00C2328C"/>
    <w:rsid w:val="00C24A60"/>
    <w:rsid w:val="00C256E9"/>
    <w:rsid w:val="00C27242"/>
    <w:rsid w:val="00C3170A"/>
    <w:rsid w:val="00C32CAD"/>
    <w:rsid w:val="00C34186"/>
    <w:rsid w:val="00C34375"/>
    <w:rsid w:val="00C3514F"/>
    <w:rsid w:val="00C351F2"/>
    <w:rsid w:val="00C35324"/>
    <w:rsid w:val="00C3533F"/>
    <w:rsid w:val="00C35784"/>
    <w:rsid w:val="00C35C4D"/>
    <w:rsid w:val="00C36224"/>
    <w:rsid w:val="00C44EF4"/>
    <w:rsid w:val="00C4571F"/>
    <w:rsid w:val="00C46355"/>
    <w:rsid w:val="00C46D46"/>
    <w:rsid w:val="00C46EE8"/>
    <w:rsid w:val="00C47DC7"/>
    <w:rsid w:val="00C513C5"/>
    <w:rsid w:val="00C52275"/>
    <w:rsid w:val="00C52ABD"/>
    <w:rsid w:val="00C53307"/>
    <w:rsid w:val="00C533B0"/>
    <w:rsid w:val="00C54C64"/>
    <w:rsid w:val="00C55B5C"/>
    <w:rsid w:val="00C55CD9"/>
    <w:rsid w:val="00C55EC2"/>
    <w:rsid w:val="00C56C68"/>
    <w:rsid w:val="00C610C1"/>
    <w:rsid w:val="00C617D2"/>
    <w:rsid w:val="00C63967"/>
    <w:rsid w:val="00C650D5"/>
    <w:rsid w:val="00C66689"/>
    <w:rsid w:val="00C7083D"/>
    <w:rsid w:val="00C70843"/>
    <w:rsid w:val="00C7189E"/>
    <w:rsid w:val="00C7286F"/>
    <w:rsid w:val="00C73324"/>
    <w:rsid w:val="00C7407E"/>
    <w:rsid w:val="00C74A73"/>
    <w:rsid w:val="00C762D2"/>
    <w:rsid w:val="00C769A2"/>
    <w:rsid w:val="00C77D2E"/>
    <w:rsid w:val="00C804F0"/>
    <w:rsid w:val="00C82F0D"/>
    <w:rsid w:val="00C85C10"/>
    <w:rsid w:val="00C85FBC"/>
    <w:rsid w:val="00C86B8B"/>
    <w:rsid w:val="00C87BDF"/>
    <w:rsid w:val="00C9043A"/>
    <w:rsid w:val="00C91A4E"/>
    <w:rsid w:val="00C920D5"/>
    <w:rsid w:val="00C92FE3"/>
    <w:rsid w:val="00C93049"/>
    <w:rsid w:val="00C937FE"/>
    <w:rsid w:val="00C93B0C"/>
    <w:rsid w:val="00C9525E"/>
    <w:rsid w:val="00C96AA8"/>
    <w:rsid w:val="00C97E90"/>
    <w:rsid w:val="00CA0912"/>
    <w:rsid w:val="00CA0D45"/>
    <w:rsid w:val="00CA17FB"/>
    <w:rsid w:val="00CA35FD"/>
    <w:rsid w:val="00CA3B4E"/>
    <w:rsid w:val="00CA3CA0"/>
    <w:rsid w:val="00CA4E43"/>
    <w:rsid w:val="00CA521D"/>
    <w:rsid w:val="00CA739C"/>
    <w:rsid w:val="00CB1094"/>
    <w:rsid w:val="00CB2CA9"/>
    <w:rsid w:val="00CB4D4E"/>
    <w:rsid w:val="00CB5E7E"/>
    <w:rsid w:val="00CB5EB7"/>
    <w:rsid w:val="00CB62B0"/>
    <w:rsid w:val="00CB6333"/>
    <w:rsid w:val="00CB6F85"/>
    <w:rsid w:val="00CC0A37"/>
    <w:rsid w:val="00CC0D9D"/>
    <w:rsid w:val="00CC18A4"/>
    <w:rsid w:val="00CC2401"/>
    <w:rsid w:val="00CC2459"/>
    <w:rsid w:val="00CC5F2F"/>
    <w:rsid w:val="00CC73DE"/>
    <w:rsid w:val="00CC7A04"/>
    <w:rsid w:val="00CC7B73"/>
    <w:rsid w:val="00CD1814"/>
    <w:rsid w:val="00CD1B1A"/>
    <w:rsid w:val="00CD28A1"/>
    <w:rsid w:val="00CD3602"/>
    <w:rsid w:val="00CD4EE7"/>
    <w:rsid w:val="00CD6EA2"/>
    <w:rsid w:val="00CE0884"/>
    <w:rsid w:val="00CE0A2F"/>
    <w:rsid w:val="00CE0ECB"/>
    <w:rsid w:val="00CE0FD1"/>
    <w:rsid w:val="00CE16A7"/>
    <w:rsid w:val="00CE1DE4"/>
    <w:rsid w:val="00CE1E1E"/>
    <w:rsid w:val="00CE2AA2"/>
    <w:rsid w:val="00CE2F8C"/>
    <w:rsid w:val="00CE3032"/>
    <w:rsid w:val="00CE389D"/>
    <w:rsid w:val="00CE3C83"/>
    <w:rsid w:val="00CE3F5A"/>
    <w:rsid w:val="00CE483C"/>
    <w:rsid w:val="00CE4EFE"/>
    <w:rsid w:val="00CE751D"/>
    <w:rsid w:val="00CF3BEC"/>
    <w:rsid w:val="00CF4F17"/>
    <w:rsid w:val="00CF65F2"/>
    <w:rsid w:val="00CF6852"/>
    <w:rsid w:val="00CF6E02"/>
    <w:rsid w:val="00CF73B3"/>
    <w:rsid w:val="00D00CCD"/>
    <w:rsid w:val="00D01C5D"/>
    <w:rsid w:val="00D01E14"/>
    <w:rsid w:val="00D036CF"/>
    <w:rsid w:val="00D04716"/>
    <w:rsid w:val="00D04E40"/>
    <w:rsid w:val="00D057B1"/>
    <w:rsid w:val="00D07E21"/>
    <w:rsid w:val="00D12717"/>
    <w:rsid w:val="00D12C22"/>
    <w:rsid w:val="00D144E8"/>
    <w:rsid w:val="00D14C3C"/>
    <w:rsid w:val="00D16293"/>
    <w:rsid w:val="00D1630A"/>
    <w:rsid w:val="00D17E55"/>
    <w:rsid w:val="00D21543"/>
    <w:rsid w:val="00D223A6"/>
    <w:rsid w:val="00D24803"/>
    <w:rsid w:val="00D24F0C"/>
    <w:rsid w:val="00D252F1"/>
    <w:rsid w:val="00D25D37"/>
    <w:rsid w:val="00D262E0"/>
    <w:rsid w:val="00D277DB"/>
    <w:rsid w:val="00D27B34"/>
    <w:rsid w:val="00D30FAF"/>
    <w:rsid w:val="00D31DC9"/>
    <w:rsid w:val="00D323FC"/>
    <w:rsid w:val="00D329DD"/>
    <w:rsid w:val="00D333D4"/>
    <w:rsid w:val="00D33502"/>
    <w:rsid w:val="00D33951"/>
    <w:rsid w:val="00D3549D"/>
    <w:rsid w:val="00D401BE"/>
    <w:rsid w:val="00D40408"/>
    <w:rsid w:val="00D40BC3"/>
    <w:rsid w:val="00D41E93"/>
    <w:rsid w:val="00D42C95"/>
    <w:rsid w:val="00D441B1"/>
    <w:rsid w:val="00D4431E"/>
    <w:rsid w:val="00D50AAF"/>
    <w:rsid w:val="00D50FB8"/>
    <w:rsid w:val="00D56263"/>
    <w:rsid w:val="00D56D21"/>
    <w:rsid w:val="00D57477"/>
    <w:rsid w:val="00D57C41"/>
    <w:rsid w:val="00D60685"/>
    <w:rsid w:val="00D61105"/>
    <w:rsid w:val="00D61FD4"/>
    <w:rsid w:val="00D62006"/>
    <w:rsid w:val="00D6244C"/>
    <w:rsid w:val="00D64268"/>
    <w:rsid w:val="00D6781A"/>
    <w:rsid w:val="00D70FBA"/>
    <w:rsid w:val="00D72570"/>
    <w:rsid w:val="00D7482B"/>
    <w:rsid w:val="00D74C25"/>
    <w:rsid w:val="00D761ED"/>
    <w:rsid w:val="00D76413"/>
    <w:rsid w:val="00D772D4"/>
    <w:rsid w:val="00D802E6"/>
    <w:rsid w:val="00D80590"/>
    <w:rsid w:val="00D8372C"/>
    <w:rsid w:val="00D877CD"/>
    <w:rsid w:val="00D90851"/>
    <w:rsid w:val="00D91B20"/>
    <w:rsid w:val="00D91D13"/>
    <w:rsid w:val="00D92D01"/>
    <w:rsid w:val="00D93A35"/>
    <w:rsid w:val="00D94322"/>
    <w:rsid w:val="00D9489B"/>
    <w:rsid w:val="00D9518D"/>
    <w:rsid w:val="00D952BC"/>
    <w:rsid w:val="00D952D2"/>
    <w:rsid w:val="00D95D57"/>
    <w:rsid w:val="00D960F5"/>
    <w:rsid w:val="00DA2931"/>
    <w:rsid w:val="00DA2F16"/>
    <w:rsid w:val="00DA52F4"/>
    <w:rsid w:val="00DB0BB0"/>
    <w:rsid w:val="00DB2271"/>
    <w:rsid w:val="00DB2A59"/>
    <w:rsid w:val="00DB302A"/>
    <w:rsid w:val="00DB374B"/>
    <w:rsid w:val="00DB3DDA"/>
    <w:rsid w:val="00DB5F63"/>
    <w:rsid w:val="00DB5FF6"/>
    <w:rsid w:val="00DB68FD"/>
    <w:rsid w:val="00DC01FF"/>
    <w:rsid w:val="00DC065F"/>
    <w:rsid w:val="00DC11DB"/>
    <w:rsid w:val="00DC1770"/>
    <w:rsid w:val="00DC286A"/>
    <w:rsid w:val="00DC2994"/>
    <w:rsid w:val="00DC34B3"/>
    <w:rsid w:val="00DC3A8C"/>
    <w:rsid w:val="00DC43EA"/>
    <w:rsid w:val="00DC4991"/>
    <w:rsid w:val="00DC663D"/>
    <w:rsid w:val="00DC7235"/>
    <w:rsid w:val="00DC75D4"/>
    <w:rsid w:val="00DD1ADA"/>
    <w:rsid w:val="00DD1E0E"/>
    <w:rsid w:val="00DD1E33"/>
    <w:rsid w:val="00DD28E6"/>
    <w:rsid w:val="00DD3FAB"/>
    <w:rsid w:val="00DD6776"/>
    <w:rsid w:val="00DD6829"/>
    <w:rsid w:val="00DE09CC"/>
    <w:rsid w:val="00DE134D"/>
    <w:rsid w:val="00DE1D25"/>
    <w:rsid w:val="00DE1E73"/>
    <w:rsid w:val="00DE2E28"/>
    <w:rsid w:val="00DE2EBD"/>
    <w:rsid w:val="00DE358A"/>
    <w:rsid w:val="00DE371E"/>
    <w:rsid w:val="00DE3D35"/>
    <w:rsid w:val="00DE56ED"/>
    <w:rsid w:val="00DE6DA4"/>
    <w:rsid w:val="00DE72E3"/>
    <w:rsid w:val="00DF025B"/>
    <w:rsid w:val="00DF0ADF"/>
    <w:rsid w:val="00DF0FCC"/>
    <w:rsid w:val="00DF2025"/>
    <w:rsid w:val="00DF2B8D"/>
    <w:rsid w:val="00DF3364"/>
    <w:rsid w:val="00DF4E79"/>
    <w:rsid w:val="00DF7A96"/>
    <w:rsid w:val="00E01B9D"/>
    <w:rsid w:val="00E03F7D"/>
    <w:rsid w:val="00E04AEC"/>
    <w:rsid w:val="00E05B63"/>
    <w:rsid w:val="00E1353D"/>
    <w:rsid w:val="00E14143"/>
    <w:rsid w:val="00E14684"/>
    <w:rsid w:val="00E154B1"/>
    <w:rsid w:val="00E155E0"/>
    <w:rsid w:val="00E15D05"/>
    <w:rsid w:val="00E17219"/>
    <w:rsid w:val="00E17750"/>
    <w:rsid w:val="00E206B3"/>
    <w:rsid w:val="00E21430"/>
    <w:rsid w:val="00E23945"/>
    <w:rsid w:val="00E23FA5"/>
    <w:rsid w:val="00E2504D"/>
    <w:rsid w:val="00E25530"/>
    <w:rsid w:val="00E25992"/>
    <w:rsid w:val="00E27140"/>
    <w:rsid w:val="00E27597"/>
    <w:rsid w:val="00E27C5A"/>
    <w:rsid w:val="00E27FD5"/>
    <w:rsid w:val="00E30FBA"/>
    <w:rsid w:val="00E31BD5"/>
    <w:rsid w:val="00E32A89"/>
    <w:rsid w:val="00E34F96"/>
    <w:rsid w:val="00E36B4F"/>
    <w:rsid w:val="00E4111C"/>
    <w:rsid w:val="00E41B0D"/>
    <w:rsid w:val="00E42321"/>
    <w:rsid w:val="00E42692"/>
    <w:rsid w:val="00E433B4"/>
    <w:rsid w:val="00E436C0"/>
    <w:rsid w:val="00E438DE"/>
    <w:rsid w:val="00E440CA"/>
    <w:rsid w:val="00E4562F"/>
    <w:rsid w:val="00E461EE"/>
    <w:rsid w:val="00E502F8"/>
    <w:rsid w:val="00E50AE7"/>
    <w:rsid w:val="00E5410E"/>
    <w:rsid w:val="00E54269"/>
    <w:rsid w:val="00E5461D"/>
    <w:rsid w:val="00E561ED"/>
    <w:rsid w:val="00E573F3"/>
    <w:rsid w:val="00E61934"/>
    <w:rsid w:val="00E62DDC"/>
    <w:rsid w:val="00E633D5"/>
    <w:rsid w:val="00E65C90"/>
    <w:rsid w:val="00E67DE4"/>
    <w:rsid w:val="00E70D5A"/>
    <w:rsid w:val="00E70F21"/>
    <w:rsid w:val="00E754C0"/>
    <w:rsid w:val="00E75B02"/>
    <w:rsid w:val="00E75E48"/>
    <w:rsid w:val="00E76D35"/>
    <w:rsid w:val="00E76D64"/>
    <w:rsid w:val="00E818F6"/>
    <w:rsid w:val="00E820D5"/>
    <w:rsid w:val="00E8233E"/>
    <w:rsid w:val="00E84324"/>
    <w:rsid w:val="00E85A84"/>
    <w:rsid w:val="00E9006C"/>
    <w:rsid w:val="00E9057D"/>
    <w:rsid w:val="00E91123"/>
    <w:rsid w:val="00E9229D"/>
    <w:rsid w:val="00E9249C"/>
    <w:rsid w:val="00E92888"/>
    <w:rsid w:val="00E92B69"/>
    <w:rsid w:val="00E92FC8"/>
    <w:rsid w:val="00E93765"/>
    <w:rsid w:val="00E94828"/>
    <w:rsid w:val="00E94B00"/>
    <w:rsid w:val="00E94C77"/>
    <w:rsid w:val="00E94E17"/>
    <w:rsid w:val="00E96DD9"/>
    <w:rsid w:val="00EA09A8"/>
    <w:rsid w:val="00EA0ADB"/>
    <w:rsid w:val="00EA15DF"/>
    <w:rsid w:val="00EA2426"/>
    <w:rsid w:val="00EA2EB2"/>
    <w:rsid w:val="00EA2EE7"/>
    <w:rsid w:val="00EA2FD0"/>
    <w:rsid w:val="00EA3BF6"/>
    <w:rsid w:val="00EA5043"/>
    <w:rsid w:val="00EA5D6E"/>
    <w:rsid w:val="00EA5D91"/>
    <w:rsid w:val="00EB2EE1"/>
    <w:rsid w:val="00EB409A"/>
    <w:rsid w:val="00EB6E94"/>
    <w:rsid w:val="00EB7778"/>
    <w:rsid w:val="00EC2415"/>
    <w:rsid w:val="00EC2EAF"/>
    <w:rsid w:val="00EC5206"/>
    <w:rsid w:val="00ED05C7"/>
    <w:rsid w:val="00ED1CE8"/>
    <w:rsid w:val="00ED214B"/>
    <w:rsid w:val="00ED3041"/>
    <w:rsid w:val="00ED6995"/>
    <w:rsid w:val="00EE09E7"/>
    <w:rsid w:val="00EE129C"/>
    <w:rsid w:val="00EE3143"/>
    <w:rsid w:val="00EE378D"/>
    <w:rsid w:val="00EE455E"/>
    <w:rsid w:val="00EE4579"/>
    <w:rsid w:val="00EE459F"/>
    <w:rsid w:val="00EE50C0"/>
    <w:rsid w:val="00EE6EAF"/>
    <w:rsid w:val="00EE7B08"/>
    <w:rsid w:val="00EF0729"/>
    <w:rsid w:val="00EF1B24"/>
    <w:rsid w:val="00EF2F39"/>
    <w:rsid w:val="00EF2FAA"/>
    <w:rsid w:val="00EF3499"/>
    <w:rsid w:val="00EF5A9D"/>
    <w:rsid w:val="00EF5E02"/>
    <w:rsid w:val="00EF6386"/>
    <w:rsid w:val="00EF6D55"/>
    <w:rsid w:val="00F01196"/>
    <w:rsid w:val="00F01599"/>
    <w:rsid w:val="00F02B5C"/>
    <w:rsid w:val="00F056B8"/>
    <w:rsid w:val="00F05883"/>
    <w:rsid w:val="00F0618A"/>
    <w:rsid w:val="00F074DD"/>
    <w:rsid w:val="00F11082"/>
    <w:rsid w:val="00F11CF8"/>
    <w:rsid w:val="00F11EE1"/>
    <w:rsid w:val="00F12741"/>
    <w:rsid w:val="00F133F8"/>
    <w:rsid w:val="00F13C5F"/>
    <w:rsid w:val="00F15441"/>
    <w:rsid w:val="00F154DF"/>
    <w:rsid w:val="00F15D42"/>
    <w:rsid w:val="00F16F7F"/>
    <w:rsid w:val="00F17181"/>
    <w:rsid w:val="00F2022C"/>
    <w:rsid w:val="00F2183A"/>
    <w:rsid w:val="00F224A1"/>
    <w:rsid w:val="00F23F30"/>
    <w:rsid w:val="00F25BF7"/>
    <w:rsid w:val="00F2615E"/>
    <w:rsid w:val="00F306C6"/>
    <w:rsid w:val="00F314E2"/>
    <w:rsid w:val="00F31679"/>
    <w:rsid w:val="00F32F31"/>
    <w:rsid w:val="00F37D68"/>
    <w:rsid w:val="00F37E2F"/>
    <w:rsid w:val="00F43BFC"/>
    <w:rsid w:val="00F44143"/>
    <w:rsid w:val="00F453A8"/>
    <w:rsid w:val="00F456BA"/>
    <w:rsid w:val="00F467FC"/>
    <w:rsid w:val="00F516E9"/>
    <w:rsid w:val="00F525F2"/>
    <w:rsid w:val="00F525F7"/>
    <w:rsid w:val="00F57859"/>
    <w:rsid w:val="00F62B44"/>
    <w:rsid w:val="00F63004"/>
    <w:rsid w:val="00F65C9A"/>
    <w:rsid w:val="00F65CF2"/>
    <w:rsid w:val="00F6719E"/>
    <w:rsid w:val="00F7082E"/>
    <w:rsid w:val="00F72F2A"/>
    <w:rsid w:val="00F73C8E"/>
    <w:rsid w:val="00F76EC2"/>
    <w:rsid w:val="00F81005"/>
    <w:rsid w:val="00F815E3"/>
    <w:rsid w:val="00F82169"/>
    <w:rsid w:val="00F82635"/>
    <w:rsid w:val="00F83D27"/>
    <w:rsid w:val="00F846FD"/>
    <w:rsid w:val="00F84770"/>
    <w:rsid w:val="00F85DB9"/>
    <w:rsid w:val="00F85DE3"/>
    <w:rsid w:val="00F85FAB"/>
    <w:rsid w:val="00F865F4"/>
    <w:rsid w:val="00F86D96"/>
    <w:rsid w:val="00F901C1"/>
    <w:rsid w:val="00F9022B"/>
    <w:rsid w:val="00F92C3D"/>
    <w:rsid w:val="00F932EC"/>
    <w:rsid w:val="00F933E1"/>
    <w:rsid w:val="00F970AC"/>
    <w:rsid w:val="00F97304"/>
    <w:rsid w:val="00F973CD"/>
    <w:rsid w:val="00F97E04"/>
    <w:rsid w:val="00FA00FB"/>
    <w:rsid w:val="00FA1019"/>
    <w:rsid w:val="00FA1866"/>
    <w:rsid w:val="00FA2747"/>
    <w:rsid w:val="00FA2FC5"/>
    <w:rsid w:val="00FA4746"/>
    <w:rsid w:val="00FA4E38"/>
    <w:rsid w:val="00FA56AF"/>
    <w:rsid w:val="00FB0125"/>
    <w:rsid w:val="00FB14F3"/>
    <w:rsid w:val="00FB3294"/>
    <w:rsid w:val="00FB3BF0"/>
    <w:rsid w:val="00FC668D"/>
    <w:rsid w:val="00FD1029"/>
    <w:rsid w:val="00FD143E"/>
    <w:rsid w:val="00FD1480"/>
    <w:rsid w:val="00FD24AA"/>
    <w:rsid w:val="00FD740E"/>
    <w:rsid w:val="00FD75EF"/>
    <w:rsid w:val="00FE41A7"/>
    <w:rsid w:val="00FF0578"/>
    <w:rsid w:val="00FF068F"/>
    <w:rsid w:val="00FF0BD6"/>
    <w:rsid w:val="00FF0D20"/>
    <w:rsid w:val="00FF1837"/>
    <w:rsid w:val="00FF2577"/>
    <w:rsid w:val="00FF33E9"/>
    <w:rsid w:val="00FF457E"/>
    <w:rsid w:val="00FF5534"/>
    <w:rsid w:val="00FF5919"/>
    <w:rsid w:val="00FF68EB"/>
    <w:rsid w:val="00FF6B18"/>
    <w:rsid w:val="00FF78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2D9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34D6"/>
    <w:pPr>
      <w:ind w:left="720"/>
      <w:contextualSpacing/>
    </w:pPr>
  </w:style>
  <w:style w:type="paragraph" w:styleId="BalloonText">
    <w:name w:val="Balloon Text"/>
    <w:basedOn w:val="Normal"/>
    <w:link w:val="BalloonTextChar"/>
    <w:uiPriority w:val="99"/>
    <w:semiHidden/>
    <w:unhideWhenUsed/>
    <w:rsid w:val="00C04A9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4A96"/>
    <w:rPr>
      <w:rFonts w:ascii="Tahoma" w:hAnsi="Tahoma" w:cs="Tahoma"/>
      <w:sz w:val="16"/>
      <w:szCs w:val="16"/>
    </w:rPr>
  </w:style>
  <w:style w:type="paragraph" w:styleId="NoSpacing">
    <w:name w:val="No Spacing"/>
    <w:uiPriority w:val="1"/>
    <w:qFormat/>
    <w:rsid w:val="003911B1"/>
    <w:pPr>
      <w:spacing w:after="0"/>
    </w:pPr>
  </w:style>
</w:styles>
</file>

<file path=word/webSettings.xml><?xml version="1.0" encoding="utf-8"?>
<w:webSettings xmlns:r="http://schemas.openxmlformats.org/officeDocument/2006/relationships" xmlns:w="http://schemas.openxmlformats.org/wordprocessingml/2006/main">
  <w:divs>
    <w:div w:id="42560680">
      <w:bodyDiv w:val="1"/>
      <w:marLeft w:val="0"/>
      <w:marRight w:val="0"/>
      <w:marTop w:val="0"/>
      <w:marBottom w:val="0"/>
      <w:divBdr>
        <w:top w:val="none" w:sz="0" w:space="0" w:color="auto"/>
        <w:left w:val="none" w:sz="0" w:space="0" w:color="auto"/>
        <w:bottom w:val="none" w:sz="0" w:space="0" w:color="auto"/>
        <w:right w:val="none" w:sz="0" w:space="0" w:color="auto"/>
      </w:divBdr>
      <w:divsChild>
        <w:div w:id="3811762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4.xml"/><Relationship Id="rId13" Type="http://schemas.openxmlformats.org/officeDocument/2006/relationships/chart" Target="charts/chart9.xml"/><Relationship Id="rId3" Type="http://schemas.openxmlformats.org/officeDocument/2006/relationships/settings" Target="settings.xml"/><Relationship Id="rId7" Type="http://schemas.openxmlformats.org/officeDocument/2006/relationships/chart" Target="charts/chart3.xml"/><Relationship Id="rId12" Type="http://schemas.openxmlformats.org/officeDocument/2006/relationships/chart" Target="charts/chart8.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11" Type="http://schemas.openxmlformats.org/officeDocument/2006/relationships/chart" Target="charts/chart7.xml"/><Relationship Id="rId5" Type="http://schemas.openxmlformats.org/officeDocument/2006/relationships/chart" Target="charts/chart1.xml"/><Relationship Id="rId15" Type="http://schemas.openxmlformats.org/officeDocument/2006/relationships/theme" Target="theme/theme1.xml"/><Relationship Id="rId10" Type="http://schemas.openxmlformats.org/officeDocument/2006/relationships/chart" Target="charts/chart6.xml"/><Relationship Id="rId4" Type="http://schemas.openxmlformats.org/officeDocument/2006/relationships/webSettings" Target="webSettings.xml"/><Relationship Id="rId9" Type="http://schemas.openxmlformats.org/officeDocument/2006/relationships/chart" Target="charts/chart5.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OIP-SVR\VOL1\DOCUMENTS%20UNDER%20REVIEW\UIPA%20LOG%20CHARTS%20MARCH%202014\chart%20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OIP-SVR\VOL1\DOCUMENTS%20UNDER%20REVIEW\UIPA%20LOG%20CHARTS%20MARCH%202014\chart%20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OIP-SVR\VOL1\DOCUMENTS%20UNDER%20REVIEW\UIPA%20LOG%20CHARTS%20MARCH%202014\chart%201.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OIP-SVR\VOL1\DOCUMENTS%20UNDER%20REVIEW\UIPA%20LOG%20CHARTS%20MARCH%202014\chart%201.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OIP-SVR\VOL1\DOCUMENTS%20UNDER%20REVIEW\UIPA%20LOG%20CHARTS%20MARCH%202014\chart%201.xlsx" TargetMode="External"/></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OIP-SVR\VOL1\DOCUMENTS%20UNDER%20REVIEW\UIPA%20LOG%20CHARTS%20MARCH%202014\chart%201.xlsx" TargetMode="External"/></Relationships>
</file>

<file path=word/charts/_rels/chart7.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OIP-SVR\VOL1\DOCUMENTS%20UNDER%20REVIEW\UIPA%20LOG%20CHARTS%20MARCH%202014\chart%201.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OIP-SVR\VOL1\DOCUMENTS%20UNDER%20REVIEW\UIPA%20LOG%20CHARTS%20MARCH%202014\chart%201.xlsx" TargetMode="External"/></Relationships>
</file>

<file path=word/charts/_rels/chart9.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package" Target="../embeddings/Microsoft_Office_Excel_Worksheet1.xlsx"/></Relationships>
</file>

<file path=word/charts/chart1.xml><?xml version="1.0" encoding="utf-8"?>
<c:chartSpace xmlns:c="http://schemas.openxmlformats.org/drawingml/2006/chart" xmlns:a="http://schemas.openxmlformats.org/drawingml/2006/main" xmlns:r="http://schemas.openxmlformats.org/officeDocument/2006/relationships">
  <c:lang val="en-US"/>
  <c:style val="3"/>
  <c:chart>
    <c:title>
      <c:tx>
        <c:rich>
          <a:bodyPr/>
          <a:lstStyle/>
          <a:p>
            <a:pPr>
              <a:defRPr/>
            </a:pPr>
            <a:r>
              <a:rPr lang="en-US"/>
              <a:t>FORMAL UIPA REQUESTS </a:t>
            </a:r>
            <a:br>
              <a:rPr lang="en-US"/>
            </a:br>
            <a:r>
              <a:rPr lang="en-US"/>
              <a:t>AND ROUTINE REQUESTS</a:t>
            </a:r>
          </a:p>
        </c:rich>
      </c:tx>
      <c:layout/>
    </c:title>
    <c:view3D>
      <c:rotX val="75"/>
      <c:rotY val="60"/>
      <c:perspective val="30"/>
    </c:view3D>
    <c:plotArea>
      <c:layout>
        <c:manualLayout>
          <c:layoutTarget val="inner"/>
          <c:xMode val="edge"/>
          <c:yMode val="edge"/>
          <c:x val="9.0277777777777693E-2"/>
          <c:y val="0.31546551472732581"/>
          <c:w val="0.81388888888888999"/>
          <c:h val="0.55865230387868181"/>
        </c:manualLayout>
      </c:layout>
      <c:pie3DChart>
        <c:varyColors val="1"/>
        <c:ser>
          <c:idx val="0"/>
          <c:order val="0"/>
          <c:spPr>
            <a:solidFill>
              <a:srgbClr val="FF0000"/>
            </a:solidFill>
          </c:spPr>
          <c:explosion val="38"/>
          <c:dPt>
            <c:idx val="1"/>
            <c:spPr>
              <a:solidFill>
                <a:srgbClr val="0070C0"/>
              </a:solidFill>
            </c:spPr>
          </c:dPt>
          <c:dLbls>
            <c:dLbl>
              <c:idx val="0"/>
              <c:layout>
                <c:manualLayout>
                  <c:x val="7.8863298337707832E-2"/>
                  <c:y val="0.10411125692621785"/>
                </c:manualLayout>
              </c:layout>
              <c:tx>
                <c:rich>
                  <a:bodyPr/>
                  <a:lstStyle/>
                  <a:p>
                    <a:r>
                      <a:rPr lang="en-US" sz="1200" b="1" i="0" baseline="0"/>
                      <a:t>F</a:t>
                    </a:r>
                    <a:r>
                      <a:rPr lang="en-US"/>
                      <a:t>ormal UIPA Requests, 3,414</a:t>
                    </a:r>
                  </a:p>
                </c:rich>
              </c:tx>
              <c:showVal val="1"/>
            </c:dLbl>
            <c:dLbl>
              <c:idx val="1"/>
              <c:layout>
                <c:manualLayout>
                  <c:x val="-5.3166010498687702E-2"/>
                  <c:y val="-0.10498359580052494"/>
                </c:manualLayout>
              </c:layout>
              <c:tx>
                <c:rich>
                  <a:bodyPr/>
                  <a:lstStyle/>
                  <a:p>
                    <a:r>
                      <a:rPr lang="en-US" sz="1200" b="1" i="0" baseline="0"/>
                      <a:t>R</a:t>
                    </a:r>
                    <a:r>
                      <a:rPr lang="en-US"/>
                      <a:t>outine Requests</a:t>
                    </a:r>
                    <a:br>
                      <a:rPr lang="en-US"/>
                    </a:br>
                    <a:r>
                      <a:rPr lang="en-US"/>
                      <a:t>553,836</a:t>
                    </a:r>
                  </a:p>
                </c:rich>
              </c:tx>
              <c:showVal val="1"/>
            </c:dLbl>
            <c:txPr>
              <a:bodyPr/>
              <a:lstStyle/>
              <a:p>
                <a:pPr>
                  <a:defRPr sz="1200" b="1" i="0" baseline="0"/>
                </a:pPr>
                <a:endParaRPr lang="en-US"/>
              </a:p>
            </c:txPr>
            <c:showVal val="1"/>
            <c:showLeaderLines val="1"/>
          </c:dLbls>
          <c:cat>
            <c:strRef>
              <c:f>Sheet6!$A$1:$B$1</c:f>
              <c:strCache>
                <c:ptCount val="2"/>
                <c:pt idx="0">
                  <c:v>Formal UIPA Requests</c:v>
                </c:pt>
                <c:pt idx="1">
                  <c:v>Routine Requests</c:v>
                </c:pt>
              </c:strCache>
            </c:strRef>
          </c:cat>
          <c:val>
            <c:numRef>
              <c:f>Sheet6!$A$2:$B$2</c:f>
              <c:numCache>
                <c:formatCode>#,##0</c:formatCode>
                <c:ptCount val="2"/>
                <c:pt idx="0">
                  <c:v>3414</c:v>
                </c:pt>
                <c:pt idx="1">
                  <c:v>553836</c:v>
                </c:pt>
              </c:numCache>
            </c:numRef>
          </c:val>
        </c:ser>
      </c:pie3DChart>
    </c:plotArea>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US"/>
  <c:chart>
    <c:title>
      <c:tx>
        <c:rich>
          <a:bodyPr/>
          <a:lstStyle/>
          <a:p>
            <a:pPr>
              <a:defRPr/>
            </a:pPr>
            <a:r>
              <a:rPr lang="en-US"/>
              <a:t>NUMBER OF </a:t>
            </a:r>
            <a:br>
              <a:rPr lang="en-US"/>
            </a:br>
            <a:r>
              <a:rPr lang="en-US"/>
              <a:t>REQUESTS COMPLETED</a:t>
            </a:r>
          </a:p>
        </c:rich>
      </c:tx>
      <c:layout/>
    </c:title>
    <c:plotArea>
      <c:layout/>
      <c:pieChart>
        <c:varyColors val="1"/>
        <c:ser>
          <c:idx val="0"/>
          <c:order val="0"/>
          <c:spPr>
            <a:solidFill>
              <a:srgbClr val="FF0000"/>
            </a:solidFill>
            <a:ln>
              <a:solidFill>
                <a:srgbClr val="0070C0"/>
              </a:solidFill>
            </a:ln>
          </c:spPr>
          <c:explosion val="25"/>
          <c:dPt>
            <c:idx val="0"/>
            <c:spPr>
              <a:solidFill>
                <a:srgbClr val="0070C0"/>
              </a:solidFill>
              <a:ln>
                <a:solidFill>
                  <a:srgbClr val="0070C0"/>
                </a:solidFill>
              </a:ln>
            </c:spPr>
          </c:dPt>
          <c:dLbls>
            <c:dLbl>
              <c:idx val="0"/>
              <c:layout>
                <c:manualLayout>
                  <c:x val="-7.9872701250070441E-2"/>
                  <c:y val="-4.3273876479725748E-2"/>
                </c:manualLayout>
              </c:layout>
              <c:tx>
                <c:rich>
                  <a:bodyPr/>
                  <a:lstStyle/>
                  <a:p>
                    <a:r>
                      <a:rPr lang="en-US" sz="1400" b="1" baseline="0"/>
                      <a:t>R</a:t>
                    </a:r>
                    <a:r>
                      <a:rPr lang="en-US"/>
                      <a:t>equests completed, 3,375 (98.8%</a:t>
                    </a:r>
                    <a:r>
                      <a:rPr lang="en-US" baseline="0"/>
                      <a:t> of 3,414 requests)</a:t>
                    </a:r>
                  </a:p>
                  <a:p>
                    <a:endParaRPr lang="en-US"/>
                  </a:p>
                </c:rich>
              </c:tx>
              <c:dLblPos val="bestFit"/>
              <c:showVal val="1"/>
              <c:showCatName val="1"/>
            </c:dLbl>
            <c:dLbl>
              <c:idx val="1"/>
              <c:layout>
                <c:manualLayout>
                  <c:x val="7.2416384525245917E-2"/>
                  <c:y val="4.6524796645317392E-5"/>
                </c:manualLayout>
              </c:layout>
              <c:tx>
                <c:rich>
                  <a:bodyPr/>
                  <a:lstStyle/>
                  <a:p>
                    <a:r>
                      <a:rPr lang="en-US"/>
                      <a:t>Requests not completed, 39 (1.2%)</a:t>
                    </a:r>
                  </a:p>
                </c:rich>
              </c:tx>
              <c:dLblPos val="bestFit"/>
              <c:showVal val="1"/>
              <c:showCatName val="1"/>
            </c:dLbl>
            <c:txPr>
              <a:bodyPr/>
              <a:lstStyle/>
              <a:p>
                <a:pPr>
                  <a:defRPr sz="1400" b="1" baseline="0"/>
                </a:pPr>
                <a:endParaRPr lang="en-US"/>
              </a:p>
            </c:txPr>
            <c:dLblPos val="bestFit"/>
            <c:showVal val="1"/>
            <c:showCatName val="1"/>
            <c:showLeaderLines val="1"/>
          </c:dLbls>
          <c:cat>
            <c:strRef>
              <c:f>Sheet1!$A$1:$B$1</c:f>
              <c:strCache>
                <c:ptCount val="2"/>
                <c:pt idx="0">
                  <c:v>Requests completed</c:v>
                </c:pt>
                <c:pt idx="1">
                  <c:v>Requests not completed</c:v>
                </c:pt>
              </c:strCache>
            </c:strRef>
          </c:cat>
          <c:val>
            <c:numRef>
              <c:f>Sheet1!$A$2:$B$2</c:f>
              <c:numCache>
                <c:formatCode>#,##0</c:formatCode>
                <c:ptCount val="2"/>
                <c:pt idx="0">
                  <c:v>3375</c:v>
                </c:pt>
                <c:pt idx="1">
                  <c:v>39</c:v>
                </c:pt>
              </c:numCache>
            </c:numRef>
          </c:val>
        </c:ser>
        <c:firstSliceAng val="102"/>
      </c:pieChart>
    </c:plotArea>
    <c:plotVisOnly val="1"/>
  </c:chart>
  <c:spPr>
    <a:scene3d>
      <a:camera prst="orthographicFront"/>
      <a:lightRig rig="threePt" dir="t"/>
    </a:scene3d>
    <a:sp3d/>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US"/>
  <c:chart>
    <c:title>
      <c:tx>
        <c:rich>
          <a:bodyPr/>
          <a:lstStyle/>
          <a:p>
            <a:pPr>
              <a:defRPr/>
            </a:pPr>
            <a:r>
              <a:rPr lang="en-US" sz="1600"/>
              <a:t>AVERAGE</a:t>
            </a:r>
            <a:r>
              <a:rPr lang="en-US" sz="1600" baseline="0"/>
              <a:t> NUMBER OF</a:t>
            </a:r>
            <a:r>
              <a:rPr lang="en-US" sz="1600"/>
              <a:t> WORKDAYS</a:t>
            </a:r>
            <a:r>
              <a:rPr lang="en-US" sz="1600" baseline="0"/>
              <a:t> </a:t>
            </a:r>
            <a:br>
              <a:rPr lang="en-US" sz="1600" baseline="0"/>
            </a:br>
            <a:r>
              <a:rPr lang="en-US" sz="1600" baseline="0"/>
              <a:t>TO COMPLETE REQUESTS</a:t>
            </a:r>
            <a:endParaRPr lang="en-US" sz="1600"/>
          </a:p>
        </c:rich>
      </c:tx>
      <c:layout/>
    </c:title>
    <c:plotArea>
      <c:layout/>
      <c:barChart>
        <c:barDir val="col"/>
        <c:grouping val="clustered"/>
        <c:ser>
          <c:idx val="0"/>
          <c:order val="0"/>
          <c:dPt>
            <c:idx val="0"/>
            <c:spPr>
              <a:solidFill>
                <a:srgbClr val="00B050"/>
              </a:solidFill>
            </c:spPr>
          </c:dPt>
          <c:dLbls>
            <c:txPr>
              <a:bodyPr/>
              <a:lstStyle/>
              <a:p>
                <a:pPr>
                  <a:defRPr sz="1200" b="1" i="0" baseline="0"/>
                </a:pPr>
                <a:endParaRPr lang="en-US"/>
              </a:p>
            </c:txPr>
            <c:showVal val="1"/>
          </c:dLbls>
          <c:cat>
            <c:strRef>
              <c:f>Sheet2!$A$2:$A$5</c:f>
              <c:strCache>
                <c:ptCount val="4"/>
                <c:pt idx="0">
                  <c:v>All Requests</c:v>
                </c:pt>
                <c:pt idx="1">
                  <c:v>Noncomplex, Nonpersonal Requests</c:v>
                </c:pt>
                <c:pt idx="2">
                  <c:v>Personal Requests</c:v>
                </c:pt>
                <c:pt idx="3">
                  <c:v>Complex Requests</c:v>
                </c:pt>
              </c:strCache>
            </c:strRef>
          </c:cat>
          <c:val>
            <c:numRef>
              <c:f>Sheet2!$B$2:$B$5</c:f>
              <c:numCache>
                <c:formatCode>General</c:formatCode>
                <c:ptCount val="4"/>
                <c:pt idx="0">
                  <c:v>8.0299999999999994</c:v>
                </c:pt>
                <c:pt idx="1">
                  <c:v>7.97</c:v>
                </c:pt>
                <c:pt idx="2">
                  <c:v>6.07</c:v>
                </c:pt>
                <c:pt idx="3">
                  <c:v>15.7</c:v>
                </c:pt>
              </c:numCache>
            </c:numRef>
          </c:val>
        </c:ser>
        <c:axId val="268412032"/>
        <c:axId val="268413568"/>
      </c:barChart>
      <c:catAx>
        <c:axId val="268412032"/>
        <c:scaling>
          <c:orientation val="minMax"/>
        </c:scaling>
        <c:axPos val="b"/>
        <c:tickLblPos val="nextTo"/>
        <c:txPr>
          <a:bodyPr/>
          <a:lstStyle/>
          <a:p>
            <a:pPr>
              <a:defRPr sz="1200" b="1" i="0" baseline="0"/>
            </a:pPr>
            <a:endParaRPr lang="en-US"/>
          </a:p>
        </c:txPr>
        <c:crossAx val="268413568"/>
        <c:crosses val="autoZero"/>
        <c:auto val="1"/>
        <c:lblAlgn val="ctr"/>
        <c:lblOffset val="100"/>
      </c:catAx>
      <c:valAx>
        <c:axId val="268413568"/>
        <c:scaling>
          <c:orientation val="minMax"/>
        </c:scaling>
        <c:axPos val="l"/>
        <c:majorGridlines/>
        <c:numFmt formatCode="General" sourceLinked="1"/>
        <c:tickLblPos val="nextTo"/>
        <c:crossAx val="268412032"/>
        <c:crosses val="autoZero"/>
        <c:crossBetween val="between"/>
      </c:valAx>
    </c:plotArea>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US"/>
  <c:chart>
    <c:title>
      <c:tx>
        <c:rich>
          <a:bodyPr/>
          <a:lstStyle/>
          <a:p>
            <a:pPr>
              <a:defRPr/>
            </a:pPr>
            <a:r>
              <a:rPr lang="en-US" sz="1800" b="1" i="0" u="none" strike="noStrike" baseline="0"/>
              <a:t>RESOLUTION OF 3,375 REQUESTS</a:t>
            </a:r>
            <a:r>
              <a:rPr lang="en-US"/>
              <a:t/>
            </a:r>
            <a:br>
              <a:rPr lang="en-US"/>
            </a:br>
            <a:r>
              <a:rPr lang="en-US" sz="1200" baseline="0"/>
              <a:t>(including all agencies)</a:t>
            </a:r>
          </a:p>
        </c:rich>
      </c:tx>
      <c:layout>
        <c:manualLayout>
          <c:xMode val="edge"/>
          <c:yMode val="edge"/>
          <c:x val="0.22451489860063789"/>
          <c:y val="1.3781219344925481E-2"/>
        </c:manualLayout>
      </c:layout>
    </c:title>
    <c:plotArea>
      <c:layout/>
      <c:pieChart>
        <c:varyColors val="1"/>
        <c:ser>
          <c:idx val="0"/>
          <c:order val="0"/>
          <c:dPt>
            <c:idx val="0"/>
            <c:spPr>
              <a:solidFill>
                <a:srgbClr val="00B050"/>
              </a:solidFill>
            </c:spPr>
          </c:dPt>
          <c:dPt>
            <c:idx val="1"/>
            <c:spPr>
              <a:solidFill>
                <a:schemeClr val="accent2">
                  <a:lumMod val="40000"/>
                  <a:lumOff val="60000"/>
                </a:schemeClr>
              </a:solidFill>
            </c:spPr>
          </c:dPt>
          <c:dPt>
            <c:idx val="2"/>
            <c:spPr>
              <a:solidFill>
                <a:srgbClr val="FF0000"/>
              </a:solidFill>
            </c:spPr>
          </c:dPt>
          <c:dPt>
            <c:idx val="3"/>
            <c:spPr>
              <a:solidFill>
                <a:schemeClr val="tx2">
                  <a:lumMod val="40000"/>
                  <a:lumOff val="60000"/>
                </a:schemeClr>
              </a:solidFill>
            </c:spPr>
          </c:dPt>
          <c:dPt>
            <c:idx val="4"/>
            <c:spPr>
              <a:solidFill>
                <a:srgbClr val="7030A0"/>
              </a:solidFill>
            </c:spPr>
          </c:dPt>
          <c:dPt>
            <c:idx val="5"/>
            <c:spPr>
              <a:solidFill>
                <a:srgbClr val="FFFF00"/>
              </a:solidFill>
            </c:spPr>
          </c:dPt>
          <c:dLbls>
            <c:dLbl>
              <c:idx val="0"/>
              <c:layout>
                <c:manualLayout>
                  <c:x val="-0.23158845885005133"/>
                  <c:y val="4.9011495924231652E-2"/>
                </c:manualLayout>
              </c:layout>
              <c:tx>
                <c:rich>
                  <a:bodyPr/>
                  <a:lstStyle/>
                  <a:p>
                    <a:r>
                      <a:rPr lang="en-US"/>
                      <a:t>Granted in full, 1,199 (35.5%)</a:t>
                    </a:r>
                  </a:p>
                </c:rich>
              </c:tx>
              <c:showVal val="1"/>
              <c:showCatName val="1"/>
            </c:dLbl>
            <c:dLbl>
              <c:idx val="1"/>
              <c:layout/>
              <c:tx>
                <c:rich>
                  <a:bodyPr/>
                  <a:lstStyle/>
                  <a:p>
                    <a:r>
                      <a:rPr lang="en-US"/>
                      <a:t>Denied in full, 50 (1.5%)</a:t>
                    </a:r>
                  </a:p>
                </c:rich>
              </c:tx>
              <c:showVal val="1"/>
              <c:showCatName val="1"/>
            </c:dLbl>
            <c:dLbl>
              <c:idx val="2"/>
              <c:layout>
                <c:manualLayout>
                  <c:x val="1.4328579297958163E-2"/>
                  <c:y val="-3.7797978175757252E-2"/>
                </c:manualLayout>
              </c:layout>
              <c:tx>
                <c:rich>
                  <a:bodyPr/>
                  <a:lstStyle/>
                  <a:p>
                    <a:r>
                      <a:rPr lang="en-US"/>
                      <a:t>Denied in part, 153 (4.5%)</a:t>
                    </a:r>
                  </a:p>
                </c:rich>
              </c:tx>
              <c:showVal val="1"/>
              <c:showCatName val="1"/>
            </c:dLbl>
            <c:dLbl>
              <c:idx val="3"/>
              <c:layout>
                <c:manualLayout>
                  <c:x val="0.23898660815546238"/>
                  <c:y val="-6.0632482008455404E-2"/>
                </c:manualLayout>
              </c:layout>
              <c:tx>
                <c:rich>
                  <a:bodyPr/>
                  <a:lstStyle/>
                  <a:p>
                    <a:r>
                      <a:rPr lang="en-US"/>
                      <a:t>Agency unable to respond, 1,892 (56%)</a:t>
                    </a:r>
                  </a:p>
                </c:rich>
              </c:tx>
              <c:showVal val="1"/>
              <c:showCatName val="1"/>
            </c:dLbl>
            <c:dLbl>
              <c:idx val="4"/>
              <c:layout>
                <c:manualLayout>
                  <c:x val="-6.0395043212191114E-2"/>
                  <c:y val="0.13436688861302343"/>
                </c:manualLayout>
              </c:layout>
              <c:tx>
                <c:rich>
                  <a:bodyPr/>
                  <a:lstStyle/>
                  <a:p>
                    <a:r>
                      <a:rPr lang="en-US"/>
                      <a:t>Requester withdrew, 241 (7%)</a:t>
                    </a:r>
                  </a:p>
                </c:rich>
              </c:tx>
              <c:showVal val="1"/>
              <c:showCatName val="1"/>
            </c:dLbl>
            <c:dLbl>
              <c:idx val="5"/>
              <c:layout>
                <c:manualLayout>
                  <c:x val="-7.1885829086179048E-2"/>
                  <c:y val="2.3600066844339532E-2"/>
                </c:manualLayout>
              </c:layout>
              <c:tx>
                <c:rich>
                  <a:bodyPr/>
                  <a:lstStyle/>
                  <a:p>
                    <a:r>
                      <a:rPr lang="en-US"/>
                      <a:t>Requester abandoned or failed to pay, 45 (1%)</a:t>
                    </a:r>
                  </a:p>
                </c:rich>
              </c:tx>
              <c:showVal val="1"/>
              <c:showCatName val="1"/>
            </c:dLbl>
            <c:txPr>
              <a:bodyPr/>
              <a:lstStyle/>
              <a:p>
                <a:pPr>
                  <a:defRPr sz="1200" b="1"/>
                </a:pPr>
                <a:endParaRPr lang="en-US"/>
              </a:p>
            </c:txPr>
            <c:showVal val="1"/>
            <c:showCatName val="1"/>
            <c:showLeaderLines val="1"/>
          </c:dLbls>
          <c:cat>
            <c:strRef>
              <c:f>Sheet3!$A$1:$F$1</c:f>
              <c:strCache>
                <c:ptCount val="6"/>
                <c:pt idx="0">
                  <c:v>Granted in full</c:v>
                </c:pt>
                <c:pt idx="1">
                  <c:v>Denied in full</c:v>
                </c:pt>
                <c:pt idx="2">
                  <c:v>Denied in part</c:v>
                </c:pt>
                <c:pt idx="3">
                  <c:v>Agency unable to respond</c:v>
                </c:pt>
                <c:pt idx="4">
                  <c:v>Requester withdrew</c:v>
                </c:pt>
                <c:pt idx="5">
                  <c:v>Requester abandoned or failed to pay</c:v>
                </c:pt>
              </c:strCache>
            </c:strRef>
          </c:cat>
          <c:val>
            <c:numRef>
              <c:f>Sheet3!$A$2:$F$2</c:f>
              <c:numCache>
                <c:formatCode>#,##0</c:formatCode>
                <c:ptCount val="6"/>
                <c:pt idx="0">
                  <c:v>1199</c:v>
                </c:pt>
                <c:pt idx="1">
                  <c:v>50</c:v>
                </c:pt>
                <c:pt idx="2">
                  <c:v>153</c:v>
                </c:pt>
                <c:pt idx="3">
                  <c:v>1892</c:v>
                </c:pt>
                <c:pt idx="4">
                  <c:v>241</c:v>
                </c:pt>
                <c:pt idx="5">
                  <c:v>45</c:v>
                </c:pt>
              </c:numCache>
            </c:numRef>
          </c:val>
        </c:ser>
        <c:firstSliceAng val="300"/>
      </c:pieChart>
    </c:plotArea>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US"/>
  <c:chart>
    <c:title>
      <c:tx>
        <c:rich>
          <a:bodyPr/>
          <a:lstStyle/>
          <a:p>
            <a:pPr>
              <a:defRPr/>
            </a:pPr>
            <a:r>
              <a:rPr lang="en-US" sz="1800" b="1" i="0" baseline="0"/>
              <a:t>RESOLUTION OF 778 REQUESTS</a:t>
            </a:r>
            <a:br>
              <a:rPr lang="en-US" sz="1800" b="1" i="0" baseline="0"/>
            </a:br>
            <a:r>
              <a:rPr lang="en-US" sz="1200" b="1" i="0" baseline="0"/>
              <a:t>(excluding one agency)</a:t>
            </a:r>
            <a:endParaRPr lang="en-US" sz="1200" baseline="0"/>
          </a:p>
        </c:rich>
      </c:tx>
      <c:layout/>
    </c:title>
    <c:plotArea>
      <c:layout/>
      <c:pieChart>
        <c:varyColors val="1"/>
        <c:ser>
          <c:idx val="0"/>
          <c:order val="0"/>
          <c:dPt>
            <c:idx val="0"/>
            <c:spPr>
              <a:solidFill>
                <a:srgbClr val="00B050"/>
              </a:solidFill>
            </c:spPr>
          </c:dPt>
          <c:dPt>
            <c:idx val="1"/>
            <c:spPr>
              <a:solidFill>
                <a:schemeClr val="accent2">
                  <a:lumMod val="40000"/>
                  <a:lumOff val="60000"/>
                </a:schemeClr>
              </a:solidFill>
            </c:spPr>
          </c:dPt>
          <c:dPt>
            <c:idx val="2"/>
            <c:spPr>
              <a:solidFill>
                <a:srgbClr val="FF0000"/>
              </a:solidFill>
            </c:spPr>
          </c:dPt>
          <c:dPt>
            <c:idx val="3"/>
            <c:spPr>
              <a:solidFill>
                <a:schemeClr val="tx2">
                  <a:lumMod val="40000"/>
                  <a:lumOff val="60000"/>
                </a:schemeClr>
              </a:solidFill>
            </c:spPr>
          </c:dPt>
          <c:dPt>
            <c:idx val="4"/>
            <c:spPr>
              <a:solidFill>
                <a:srgbClr val="7030A0"/>
              </a:solidFill>
            </c:spPr>
          </c:dPt>
          <c:dPt>
            <c:idx val="5"/>
            <c:spPr>
              <a:solidFill>
                <a:srgbClr val="FFFF00"/>
              </a:solidFill>
            </c:spPr>
          </c:dPt>
          <c:dLbls>
            <c:dLbl>
              <c:idx val="0"/>
              <c:layout>
                <c:manualLayout>
                  <c:x val="9.4357283464566927E-2"/>
                  <c:y val="0.1592271799358414"/>
                </c:manualLayout>
              </c:layout>
              <c:tx>
                <c:rich>
                  <a:bodyPr/>
                  <a:lstStyle/>
                  <a:p>
                    <a:r>
                      <a:rPr lang="en-US" sz="1200" b="1"/>
                      <a:t>G</a:t>
                    </a:r>
                    <a:r>
                      <a:rPr lang="en-US"/>
                      <a:t>ranted in full, 459 (59%)</a:t>
                    </a:r>
                  </a:p>
                </c:rich>
              </c:tx>
              <c:showVal val="1"/>
              <c:showCatName val="1"/>
            </c:dLbl>
            <c:dLbl>
              <c:idx val="1"/>
              <c:layout>
                <c:manualLayout>
                  <c:x val="5.6432414698162778E-2"/>
                  <c:y val="-2.2407407407407456E-2"/>
                </c:manualLayout>
              </c:layout>
              <c:tx>
                <c:rich>
                  <a:bodyPr/>
                  <a:lstStyle/>
                  <a:p>
                    <a:r>
                      <a:rPr lang="en-US" sz="1200" b="1"/>
                      <a:t>D</a:t>
                    </a:r>
                    <a:r>
                      <a:rPr lang="en-US"/>
                      <a:t>enied in full, 32 (4.1%)</a:t>
                    </a:r>
                  </a:p>
                </c:rich>
              </c:tx>
              <c:showVal val="1"/>
              <c:showCatName val="1"/>
            </c:dLbl>
            <c:dLbl>
              <c:idx val="2"/>
              <c:layout>
                <c:manualLayout>
                  <c:x val="-3.8601361270519198E-2"/>
                  <c:y val="-1.2061353602476001E-3"/>
                </c:manualLayout>
              </c:layout>
              <c:tx>
                <c:rich>
                  <a:bodyPr/>
                  <a:lstStyle/>
                  <a:p>
                    <a:r>
                      <a:rPr lang="en-US" sz="1200" b="1"/>
                      <a:t>D</a:t>
                    </a:r>
                    <a:r>
                      <a:rPr lang="en-US"/>
                      <a:t>enied in part, 129 (16.6%)</a:t>
                    </a:r>
                  </a:p>
                </c:rich>
              </c:tx>
              <c:showVal val="1"/>
              <c:showCatName val="1"/>
            </c:dLbl>
            <c:dLbl>
              <c:idx val="3"/>
              <c:layout>
                <c:manualLayout>
                  <c:x val="-6.7519610896095705E-2"/>
                  <c:y val="7.5781408826786911E-2"/>
                </c:manualLayout>
              </c:layout>
              <c:tx>
                <c:rich>
                  <a:bodyPr/>
                  <a:lstStyle/>
                  <a:p>
                    <a:r>
                      <a:rPr lang="en-US" sz="1200" b="1"/>
                      <a:t>A</a:t>
                    </a:r>
                    <a:r>
                      <a:rPr lang="en-US"/>
                      <a:t>gency unable to respond, 105 (13.5%)</a:t>
                    </a:r>
                  </a:p>
                </c:rich>
              </c:tx>
              <c:showVal val="1"/>
              <c:showCatName val="1"/>
            </c:dLbl>
            <c:dLbl>
              <c:idx val="4"/>
              <c:layout>
                <c:manualLayout>
                  <c:x val="-2.2911062670838481E-2"/>
                  <c:y val="3.9019313337277955E-2"/>
                </c:manualLayout>
              </c:layout>
              <c:tx>
                <c:rich>
                  <a:bodyPr/>
                  <a:lstStyle/>
                  <a:p>
                    <a:r>
                      <a:rPr lang="en-US" sz="1200" b="1"/>
                      <a:t>R</a:t>
                    </a:r>
                    <a:r>
                      <a:rPr lang="en-US"/>
                      <a:t>equester withdrew, 8 (1.0%) </a:t>
                    </a:r>
                  </a:p>
                </c:rich>
              </c:tx>
              <c:showVal val="1"/>
              <c:showCatName val="1"/>
            </c:dLbl>
            <c:dLbl>
              <c:idx val="5"/>
              <c:layout>
                <c:manualLayout>
                  <c:x val="-6.9661066378002179E-2"/>
                  <c:y val="-0.10085749396932306"/>
                </c:manualLayout>
              </c:layout>
              <c:tx>
                <c:rich>
                  <a:bodyPr/>
                  <a:lstStyle/>
                  <a:p>
                    <a:r>
                      <a:rPr lang="en-US" sz="1200" b="1"/>
                      <a:t>R</a:t>
                    </a:r>
                    <a:r>
                      <a:rPr lang="en-US" b="1"/>
                      <a:t>equester abandoned or failed to pay, 40 (5.1%)</a:t>
                    </a:r>
                  </a:p>
                </c:rich>
              </c:tx>
              <c:showVal val="1"/>
              <c:showCatName val="1"/>
            </c:dLbl>
            <c:txPr>
              <a:bodyPr/>
              <a:lstStyle/>
              <a:p>
                <a:pPr>
                  <a:defRPr sz="1200" b="1"/>
                </a:pPr>
                <a:endParaRPr lang="en-US"/>
              </a:p>
            </c:txPr>
            <c:showVal val="1"/>
            <c:showCatName val="1"/>
            <c:showLeaderLines val="1"/>
          </c:dLbls>
          <c:cat>
            <c:strRef>
              <c:f>Sheet3!$A$27:$F$27</c:f>
              <c:strCache>
                <c:ptCount val="6"/>
                <c:pt idx="0">
                  <c:v>Granted in full</c:v>
                </c:pt>
                <c:pt idx="1">
                  <c:v>Denied in full</c:v>
                </c:pt>
                <c:pt idx="2">
                  <c:v>Denied in part</c:v>
                </c:pt>
                <c:pt idx="3">
                  <c:v>Agency unable to respond</c:v>
                </c:pt>
                <c:pt idx="4">
                  <c:v>Requester withdrew</c:v>
                </c:pt>
                <c:pt idx="5">
                  <c:v>Requester abandoned or failed to pay</c:v>
                </c:pt>
              </c:strCache>
            </c:strRef>
          </c:cat>
          <c:val>
            <c:numRef>
              <c:f>Sheet3!$A$28:$F$28</c:f>
              <c:numCache>
                <c:formatCode>#,##0</c:formatCode>
                <c:ptCount val="6"/>
                <c:pt idx="0">
                  <c:v>459</c:v>
                </c:pt>
                <c:pt idx="1">
                  <c:v>32</c:v>
                </c:pt>
                <c:pt idx="2">
                  <c:v>129</c:v>
                </c:pt>
                <c:pt idx="3">
                  <c:v>105</c:v>
                </c:pt>
                <c:pt idx="4">
                  <c:v>8</c:v>
                </c:pt>
                <c:pt idx="5">
                  <c:v>40</c:v>
                </c:pt>
              </c:numCache>
            </c:numRef>
          </c:val>
        </c:ser>
        <c:firstSliceAng val="300"/>
      </c:pieChart>
    </c:plotArea>
    <c:plotVisOnly val="1"/>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US"/>
  <c:chart>
    <c:title>
      <c:tx>
        <c:rich>
          <a:bodyPr/>
          <a:lstStyle/>
          <a:p>
            <a:pPr>
              <a:defRPr/>
            </a:pPr>
            <a:r>
              <a:rPr lang="en-US"/>
              <a:t>FEES &amp; COSTS </a:t>
            </a:r>
          </a:p>
        </c:rich>
      </c:tx>
      <c:layout>
        <c:manualLayout>
          <c:xMode val="edge"/>
          <c:yMode val="edge"/>
          <c:x val="0.32470144356955388"/>
          <c:y val="2.0942402621263276E-2"/>
        </c:manualLayout>
      </c:layout>
    </c:title>
    <c:plotArea>
      <c:layout/>
      <c:pieChart>
        <c:varyColors val="1"/>
        <c:ser>
          <c:idx val="0"/>
          <c:order val="0"/>
          <c:spPr>
            <a:solidFill>
              <a:srgbClr val="0070C0"/>
            </a:solidFill>
          </c:spPr>
          <c:explosion val="21"/>
          <c:dPt>
            <c:idx val="0"/>
            <c:spPr>
              <a:solidFill>
                <a:srgbClr val="FF0000"/>
              </a:solidFill>
            </c:spPr>
          </c:dPt>
          <c:dLbls>
            <c:dLbl>
              <c:idx val="0"/>
              <c:layout>
                <c:manualLayout>
                  <c:x val="3.2676727909011515E-2"/>
                  <c:y val="-2.587623479786326E-2"/>
                </c:manualLayout>
              </c:layout>
              <c:tx>
                <c:rich>
                  <a:bodyPr/>
                  <a:lstStyle/>
                  <a:p>
                    <a:r>
                      <a:rPr lang="en-US"/>
                      <a:t>Fees &amp; costs paid by requesters, $2,534</a:t>
                    </a:r>
                  </a:p>
                </c:rich>
              </c:tx>
              <c:dLblPos val="bestFit"/>
              <c:showVal val="1"/>
              <c:showCatName val="1"/>
            </c:dLbl>
            <c:dLbl>
              <c:idx val="1"/>
              <c:layout>
                <c:manualLayout>
                  <c:x val="-1.1770122484689421E-2"/>
                  <c:y val="-2.8335180680441201E-2"/>
                </c:manualLayout>
              </c:layout>
              <c:tx>
                <c:rich>
                  <a:bodyPr/>
                  <a:lstStyle/>
                  <a:p>
                    <a:r>
                      <a:rPr lang="en-US"/>
                      <a:t>Total gross fees &amp; costs incurred but not charged by agencies, $33,678</a:t>
                    </a:r>
                  </a:p>
                </c:rich>
              </c:tx>
              <c:dLblPos val="bestFit"/>
              <c:showVal val="1"/>
              <c:showCatName val="1"/>
            </c:dLbl>
            <c:txPr>
              <a:bodyPr/>
              <a:lstStyle/>
              <a:p>
                <a:pPr>
                  <a:defRPr sz="1200" b="1"/>
                </a:pPr>
                <a:endParaRPr lang="en-US"/>
              </a:p>
            </c:txPr>
            <c:dLblPos val="bestFit"/>
            <c:showVal val="1"/>
            <c:showCatName val="1"/>
            <c:showLeaderLines val="1"/>
          </c:dLbls>
          <c:cat>
            <c:strRef>
              <c:f>Sheet4!$A$1:$B$1</c:f>
              <c:strCache>
                <c:ptCount val="2"/>
                <c:pt idx="0">
                  <c:v>Fees &amp; costs paid by requesters</c:v>
                </c:pt>
                <c:pt idx="1">
                  <c:v>Total gross fees &amp; costs incurred but not charged</c:v>
                </c:pt>
              </c:strCache>
            </c:strRef>
          </c:cat>
          <c:val>
            <c:numRef>
              <c:f>Sheet4!$A$2:$B$2</c:f>
              <c:numCache>
                <c:formatCode>"$"#,##0.00</c:formatCode>
                <c:ptCount val="2"/>
                <c:pt idx="0">
                  <c:v>2533.7199999999998</c:v>
                </c:pt>
                <c:pt idx="1">
                  <c:v>33678.32</c:v>
                </c:pt>
              </c:numCache>
            </c:numRef>
          </c:val>
        </c:ser>
        <c:firstSliceAng val="45"/>
      </c:pieChart>
    </c:plotArea>
    <c:plotVisOnly val="1"/>
  </c:chart>
  <c:externalData r:id="rId1"/>
  <c:userShapes r:id="rId2"/>
</c:chartSpace>
</file>

<file path=word/charts/chart7.xml><?xml version="1.0" encoding="utf-8"?>
<c:chartSpace xmlns:c="http://schemas.openxmlformats.org/drawingml/2006/chart" xmlns:a="http://schemas.openxmlformats.org/drawingml/2006/main" xmlns:r="http://schemas.openxmlformats.org/officeDocument/2006/relationships">
  <c:lang val="en-US"/>
  <c:chart>
    <c:title>
      <c:tx>
        <c:rich>
          <a:bodyPr/>
          <a:lstStyle/>
          <a:p>
            <a:pPr>
              <a:defRPr/>
            </a:pPr>
            <a:r>
              <a:rPr lang="en-US"/>
              <a:t>FEE WAIVERS</a:t>
            </a:r>
            <a:br>
              <a:rPr lang="en-US"/>
            </a:br>
            <a:r>
              <a:rPr lang="en-US" sz="1200"/>
              <a:t>(based on 3,414 completed cases)</a:t>
            </a:r>
          </a:p>
        </c:rich>
      </c:tx>
      <c:layout/>
    </c:title>
    <c:view3D>
      <c:rotX val="30"/>
      <c:rotY val="307"/>
      <c:perspective val="30"/>
    </c:view3D>
    <c:plotArea>
      <c:layout/>
      <c:pie3DChart>
        <c:varyColors val="1"/>
        <c:ser>
          <c:idx val="0"/>
          <c:order val="0"/>
          <c:dPt>
            <c:idx val="1"/>
            <c:spPr>
              <a:solidFill>
                <a:srgbClr val="FFFF00"/>
              </a:solidFill>
            </c:spPr>
          </c:dPt>
          <c:dPt>
            <c:idx val="2"/>
            <c:spPr>
              <a:solidFill>
                <a:schemeClr val="accent3">
                  <a:lumMod val="60000"/>
                  <a:lumOff val="40000"/>
                </a:schemeClr>
              </a:solidFill>
            </c:spPr>
          </c:dPt>
          <c:dLbls>
            <c:dLbl>
              <c:idx val="0"/>
              <c:layout>
                <c:manualLayout>
                  <c:x val="-6.666688538932633E-2"/>
                  <c:y val="0.28822004098802717"/>
                </c:manualLayout>
              </c:layout>
              <c:showVal val="1"/>
              <c:showCatName val="1"/>
            </c:dLbl>
            <c:dLbl>
              <c:idx val="1"/>
              <c:layout>
                <c:manualLayout>
                  <c:x val="1.8381889763779559E-2"/>
                  <c:y val="0.17132822780714071"/>
                </c:manualLayout>
              </c:layout>
              <c:showVal val="1"/>
              <c:showCatName val="1"/>
            </c:dLbl>
            <c:dLbl>
              <c:idx val="2"/>
              <c:layout>
                <c:manualLayout>
                  <c:x val="3.6799431321084854E-2"/>
                  <c:y val="-0.20020652212993922"/>
                </c:manualLayout>
              </c:layout>
              <c:showVal val="1"/>
              <c:showCatName val="1"/>
            </c:dLbl>
            <c:txPr>
              <a:bodyPr/>
              <a:lstStyle/>
              <a:p>
                <a:pPr>
                  <a:defRPr sz="1200" b="1"/>
                </a:pPr>
                <a:endParaRPr lang="en-US"/>
              </a:p>
            </c:txPr>
            <c:showVal val="1"/>
            <c:showCatName val="1"/>
            <c:showLeaderLines val="1"/>
          </c:dLbls>
          <c:cat>
            <c:strRef>
              <c:f>Sheet5!$A$1:$C$1</c:f>
              <c:strCache>
                <c:ptCount val="3"/>
                <c:pt idx="0">
                  <c:v>$30 fee waivers</c:v>
                </c:pt>
                <c:pt idx="1">
                  <c:v>$60 fee waivers</c:v>
                </c:pt>
                <c:pt idx="2">
                  <c:v>no fee waivers</c:v>
                </c:pt>
              </c:strCache>
            </c:strRef>
          </c:cat>
          <c:val>
            <c:numRef>
              <c:f>Sheet5!$A$2:$C$2</c:f>
              <c:numCache>
                <c:formatCode>General</c:formatCode>
                <c:ptCount val="3"/>
                <c:pt idx="0" formatCode="#,##0">
                  <c:v>2815</c:v>
                </c:pt>
                <c:pt idx="1">
                  <c:v>53</c:v>
                </c:pt>
                <c:pt idx="2">
                  <c:v>546</c:v>
                </c:pt>
              </c:numCache>
            </c:numRef>
          </c:val>
        </c:ser>
      </c:pie3DChart>
    </c:plotArea>
    <c:plotVisOnly val="1"/>
  </c:chart>
  <c:externalData r:id="rId1"/>
  <c:userShapes r:id="rId2"/>
</c:chartSpace>
</file>

<file path=word/charts/chart8.xml><?xml version="1.0" encoding="utf-8"?>
<c:chartSpace xmlns:c="http://schemas.openxmlformats.org/drawingml/2006/chart" xmlns:a="http://schemas.openxmlformats.org/drawingml/2006/main" xmlns:r="http://schemas.openxmlformats.org/officeDocument/2006/relationships">
  <c:lang val="en-US"/>
  <c:chart>
    <c:title>
      <c:tx>
        <c:rich>
          <a:bodyPr/>
          <a:lstStyle/>
          <a:p>
            <a:pPr>
              <a:defRPr/>
            </a:pPr>
            <a:r>
              <a:rPr lang="en-US"/>
              <a:t>FEES &amp; COSTS </a:t>
            </a:r>
            <a:br>
              <a:rPr lang="en-US"/>
            </a:br>
            <a:r>
              <a:rPr lang="en-US"/>
              <a:t>FOR COMPLEX REQUESTS</a:t>
            </a:r>
          </a:p>
        </c:rich>
      </c:tx>
      <c:layout/>
    </c:title>
    <c:plotArea>
      <c:layout/>
      <c:barChart>
        <c:barDir val="col"/>
        <c:grouping val="clustered"/>
        <c:ser>
          <c:idx val="0"/>
          <c:order val="0"/>
          <c:dLbls>
            <c:dLbl>
              <c:idx val="1"/>
              <c:layout/>
              <c:tx>
                <c:rich>
                  <a:bodyPr/>
                  <a:lstStyle/>
                  <a:p>
                    <a:r>
                      <a:rPr lang="en-US"/>
                      <a:t>$2,358</a:t>
                    </a:r>
                  </a:p>
                </c:rich>
              </c:tx>
              <c:showVal val="1"/>
            </c:dLbl>
            <c:showVal val="1"/>
          </c:dLbls>
          <c:cat>
            <c:strRef>
              <c:f>Sheet9!$A$1:$C$1</c:f>
              <c:strCache>
                <c:ptCount val="3"/>
                <c:pt idx="0">
                  <c:v>Total gross incurred by agency</c:v>
                </c:pt>
                <c:pt idx="1">
                  <c:v>Net chargeable to requester</c:v>
                </c:pt>
                <c:pt idx="2">
                  <c:v>Actually paid by requesters</c:v>
                </c:pt>
              </c:strCache>
            </c:strRef>
          </c:cat>
          <c:val>
            <c:numRef>
              <c:f>Sheet9!$A$2:$C$2</c:f>
              <c:numCache>
                <c:formatCode>"$"#,##0</c:formatCode>
                <c:ptCount val="3"/>
                <c:pt idx="0">
                  <c:v>3166</c:v>
                </c:pt>
                <c:pt idx="1">
                  <c:v>2803</c:v>
                </c:pt>
                <c:pt idx="2">
                  <c:v>445</c:v>
                </c:pt>
              </c:numCache>
            </c:numRef>
          </c:val>
        </c:ser>
        <c:axId val="268050816"/>
        <c:axId val="268052352"/>
      </c:barChart>
      <c:catAx>
        <c:axId val="268050816"/>
        <c:scaling>
          <c:orientation val="minMax"/>
        </c:scaling>
        <c:axPos val="b"/>
        <c:tickLblPos val="nextTo"/>
        <c:crossAx val="268052352"/>
        <c:crosses val="autoZero"/>
        <c:auto val="1"/>
        <c:lblAlgn val="ctr"/>
        <c:lblOffset val="100"/>
      </c:catAx>
      <c:valAx>
        <c:axId val="268052352"/>
        <c:scaling>
          <c:orientation val="minMax"/>
        </c:scaling>
        <c:axPos val="l"/>
        <c:majorGridlines/>
        <c:numFmt formatCode="&quot;$&quot;#,##0" sourceLinked="1"/>
        <c:tickLblPos val="nextTo"/>
        <c:crossAx val="268050816"/>
        <c:crosses val="autoZero"/>
        <c:crossBetween val="between"/>
      </c:valAx>
      <c:spPr>
        <a:noFill/>
        <a:ln w="25400">
          <a:noFill/>
        </a:ln>
      </c:spPr>
    </c:plotArea>
    <c:plotVisOnly val="1"/>
  </c:chart>
  <c:txPr>
    <a:bodyPr/>
    <a:lstStyle/>
    <a:p>
      <a:pPr>
        <a:defRPr sz="1100" b="1" i="0" baseline="0"/>
      </a:pPr>
      <a:endParaRPr lang="en-US"/>
    </a:p>
  </c:tx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en-US"/>
  <c:style val="10"/>
  <c:chart>
    <c:title>
      <c:tx>
        <c:rich>
          <a:bodyPr/>
          <a:lstStyle/>
          <a:p>
            <a:pPr>
              <a:defRPr/>
            </a:pPr>
            <a:r>
              <a:rPr lang="en-US"/>
              <a:t>AVERAGE NUMBER OF HOURS</a:t>
            </a:r>
            <a:br>
              <a:rPr lang="en-US"/>
            </a:br>
            <a:r>
              <a:rPr lang="en-US"/>
              <a:t>TO COMPLETE REQUESTS</a:t>
            </a:r>
          </a:p>
        </c:rich>
      </c:tx>
      <c:layout/>
    </c:title>
    <c:plotArea>
      <c:layout/>
      <c:barChart>
        <c:barDir val="col"/>
        <c:grouping val="stacked"/>
        <c:ser>
          <c:idx val="0"/>
          <c:order val="0"/>
          <c:tx>
            <c:strRef>
              <c:f>'Sheet1'!$B$1</c:f>
              <c:strCache>
                <c:ptCount val="1"/>
                <c:pt idx="0">
                  <c:v>Search</c:v>
                </c:pt>
              </c:strCache>
            </c:strRef>
          </c:tx>
          <c:dLbls>
            <c:showVal val="1"/>
          </c:dLbls>
          <c:cat>
            <c:strRef>
              <c:f>'Sheet1'!$A$2:$A$5</c:f>
              <c:strCache>
                <c:ptCount val="4"/>
                <c:pt idx="0">
                  <c:v>All Requests</c:v>
                </c:pt>
                <c:pt idx="1">
                  <c:v>Non-Complex Non-Personal Requests</c:v>
                </c:pt>
                <c:pt idx="2">
                  <c:v>Personal Requests</c:v>
                </c:pt>
                <c:pt idx="3">
                  <c:v>Complex Requests</c:v>
                </c:pt>
              </c:strCache>
            </c:strRef>
          </c:cat>
          <c:val>
            <c:numRef>
              <c:f>'Sheet1'!$B$2:$B$5</c:f>
              <c:numCache>
                <c:formatCode>General</c:formatCode>
                <c:ptCount val="4"/>
                <c:pt idx="0">
                  <c:v>0.54</c:v>
                </c:pt>
                <c:pt idx="1">
                  <c:v>0.52</c:v>
                </c:pt>
                <c:pt idx="2">
                  <c:v>0.36000000000000021</c:v>
                </c:pt>
                <c:pt idx="3">
                  <c:v>2.1800000000000002</c:v>
                </c:pt>
              </c:numCache>
            </c:numRef>
          </c:val>
        </c:ser>
        <c:ser>
          <c:idx val="1"/>
          <c:order val="1"/>
          <c:tx>
            <c:strRef>
              <c:f>'Sheet1'!$C$1</c:f>
              <c:strCache>
                <c:ptCount val="1"/>
                <c:pt idx="0">
                  <c:v>Review &amp; Segregation</c:v>
                </c:pt>
              </c:strCache>
            </c:strRef>
          </c:tx>
          <c:spPr>
            <a:solidFill>
              <a:schemeClr val="bg1">
                <a:lumMod val="85000"/>
              </a:schemeClr>
            </a:solidFill>
          </c:spPr>
          <c:dLbls>
            <c:showVal val="1"/>
          </c:dLbls>
          <c:cat>
            <c:strRef>
              <c:f>'Sheet1'!$A$2:$A$5</c:f>
              <c:strCache>
                <c:ptCount val="4"/>
                <c:pt idx="0">
                  <c:v>All Requests</c:v>
                </c:pt>
                <c:pt idx="1">
                  <c:v>Non-Complex Non-Personal Requests</c:v>
                </c:pt>
                <c:pt idx="2">
                  <c:v>Personal Requests</c:v>
                </c:pt>
                <c:pt idx="3">
                  <c:v>Complex Requests</c:v>
                </c:pt>
              </c:strCache>
            </c:strRef>
          </c:cat>
          <c:val>
            <c:numRef>
              <c:f>'Sheet1'!$C$2:$C$5</c:f>
              <c:numCache>
                <c:formatCode>General</c:formatCode>
                <c:ptCount val="4"/>
                <c:pt idx="0">
                  <c:v>0.1800000000000001</c:v>
                </c:pt>
                <c:pt idx="1">
                  <c:v>0.15000000000000011</c:v>
                </c:pt>
                <c:pt idx="2">
                  <c:v>0.19</c:v>
                </c:pt>
                <c:pt idx="3">
                  <c:v>2.1</c:v>
                </c:pt>
              </c:numCache>
            </c:numRef>
          </c:val>
        </c:ser>
        <c:gapWidth val="55"/>
        <c:overlap val="100"/>
        <c:axId val="268084736"/>
        <c:axId val="268086272"/>
      </c:barChart>
      <c:catAx>
        <c:axId val="268084736"/>
        <c:scaling>
          <c:orientation val="minMax"/>
        </c:scaling>
        <c:axPos val="b"/>
        <c:majorTickMark val="none"/>
        <c:tickLblPos val="nextTo"/>
        <c:crossAx val="268086272"/>
        <c:crosses val="autoZero"/>
        <c:auto val="1"/>
        <c:lblAlgn val="ctr"/>
        <c:lblOffset val="100"/>
      </c:catAx>
      <c:valAx>
        <c:axId val="268086272"/>
        <c:scaling>
          <c:orientation val="minMax"/>
        </c:scaling>
        <c:axPos val="l"/>
        <c:majorGridlines/>
        <c:numFmt formatCode="General" sourceLinked="1"/>
        <c:majorTickMark val="none"/>
        <c:tickLblPos val="nextTo"/>
        <c:crossAx val="268084736"/>
        <c:crosses val="autoZero"/>
        <c:crossBetween val="between"/>
      </c:valAx>
    </c:plotArea>
    <c:legend>
      <c:legendPos val="r"/>
      <c:layout/>
    </c:legend>
    <c:plotVisOnly val="1"/>
  </c:chart>
  <c:externalData r:id="rId1"/>
  <c:userShapes r:id="rId2"/>
</c:chartSpace>
</file>

<file path=word/drawings/drawing1.xml><?xml version="1.0" encoding="utf-8"?>
<c:userShapes xmlns:c="http://schemas.openxmlformats.org/drawingml/2006/chart">
  <cdr:relSizeAnchor xmlns:cdr="http://schemas.openxmlformats.org/drawingml/2006/chartDrawing">
    <cdr:from>
      <cdr:x>0.65365</cdr:x>
      <cdr:y>0.76188</cdr:y>
    </cdr:from>
    <cdr:to>
      <cdr:x>0.9724</cdr:x>
      <cdr:y>0.97586</cdr:y>
    </cdr:to>
    <cdr:sp macro="" textlink="">
      <cdr:nvSpPr>
        <cdr:cNvPr id="2" name="TextBox 1"/>
        <cdr:cNvSpPr txBox="1"/>
      </cdr:nvSpPr>
      <cdr:spPr>
        <a:xfrm xmlns:a="http://schemas.openxmlformats.org/drawingml/2006/main">
          <a:off x="2988500" y="2772156"/>
          <a:ext cx="1457325" cy="778566"/>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100" b="1"/>
            <a:t>NOTE:   Net fees &amp; costs</a:t>
          </a:r>
          <a:r>
            <a:rPr lang="en-US" sz="1100" b="1" baseline="0"/>
            <a:t> </a:t>
          </a:r>
          <a:br>
            <a:rPr lang="en-US" sz="1100" b="1" baseline="0"/>
          </a:br>
          <a:r>
            <a:rPr lang="en-US" sz="1100" b="1" baseline="0"/>
            <a:t>properly </a:t>
          </a:r>
          <a:r>
            <a:rPr lang="en-US" sz="1100" b="1"/>
            <a:t>chargeable </a:t>
          </a:r>
          <a:br>
            <a:rPr lang="en-US" sz="1100" b="1"/>
          </a:br>
          <a:r>
            <a:rPr lang="en-US" sz="1100" b="1"/>
            <a:t>to requesters =  </a:t>
          </a:r>
          <a:br>
            <a:rPr lang="en-US" sz="1100" b="1"/>
          </a:br>
          <a:r>
            <a:rPr lang="en-US" sz="1100" b="1" baseline="0"/>
            <a:t>$14,155</a:t>
          </a:r>
          <a:endParaRPr lang="en-US" sz="1100" b="1"/>
        </a:p>
      </cdr:txBody>
    </cdr:sp>
  </cdr:relSizeAnchor>
</c:userShapes>
</file>

<file path=word/drawings/drawing2.xml><?xml version="1.0" encoding="utf-8"?>
<c:userShapes xmlns:c="http://schemas.openxmlformats.org/drawingml/2006/chart">
  <cdr:relSizeAnchor xmlns:cdr="http://schemas.openxmlformats.org/drawingml/2006/chartDrawing">
    <cdr:from>
      <cdr:x>0.725</cdr:x>
      <cdr:y>0.02466</cdr:y>
    </cdr:from>
    <cdr:to>
      <cdr:x>1</cdr:x>
      <cdr:y>0.3863</cdr:y>
    </cdr:to>
    <cdr:sp macro="" textlink="">
      <cdr:nvSpPr>
        <cdr:cNvPr id="2" name="TextBox 1"/>
        <cdr:cNvSpPr txBox="1"/>
      </cdr:nvSpPr>
      <cdr:spPr>
        <a:xfrm xmlns:a="http://schemas.openxmlformats.org/drawingml/2006/main">
          <a:off x="3314699" y="85725"/>
          <a:ext cx="1257301" cy="12573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0.22909</cdr:x>
      <cdr:y>0.17011</cdr:y>
    </cdr:from>
    <cdr:to>
      <cdr:x>0.90877</cdr:x>
      <cdr:y>0.31494</cdr:y>
    </cdr:to>
    <cdr:sp macro="" textlink="">
      <cdr:nvSpPr>
        <cdr:cNvPr id="3" name="TextBox 2"/>
        <cdr:cNvSpPr txBox="1"/>
      </cdr:nvSpPr>
      <cdr:spPr>
        <a:xfrm xmlns:a="http://schemas.openxmlformats.org/drawingml/2006/main">
          <a:off x="1030091" y="704850"/>
          <a:ext cx="3056134" cy="60007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000" b="1"/>
            <a:t>NOTE:  No</a:t>
          </a:r>
          <a:r>
            <a:rPr lang="en-US" sz="1000" b="1" baseline="0"/>
            <a:t> fee waivers are required if requests are </a:t>
          </a:r>
          <a:br>
            <a:rPr lang="en-US" sz="1000" b="1" baseline="0"/>
          </a:br>
          <a:r>
            <a:rPr lang="en-US" sz="1000" b="1" baseline="0"/>
            <a:t>denied, abandoned, or withdrawn, or agency is unable </a:t>
          </a:r>
          <a:br>
            <a:rPr lang="en-US" sz="1000" b="1" baseline="0"/>
          </a:br>
          <a:r>
            <a:rPr lang="en-US" sz="1000" b="1" baseline="0"/>
            <a:t>to respond.</a:t>
          </a:r>
          <a:endParaRPr lang="en-US" sz="1000" b="1"/>
        </a:p>
      </cdr:txBody>
    </cdr:sp>
  </cdr:relSizeAnchor>
</c:userShapes>
</file>

<file path=word/drawings/drawing3.xml><?xml version="1.0" encoding="utf-8"?>
<c:userShapes xmlns:c="http://schemas.openxmlformats.org/drawingml/2006/chart">
  <cdr:relSizeAnchor xmlns:cdr="http://schemas.openxmlformats.org/drawingml/2006/chartDrawing">
    <cdr:from>
      <cdr:x>0.10417</cdr:x>
      <cdr:y>0.69835</cdr:y>
    </cdr:from>
    <cdr:to>
      <cdr:x>0.24702</cdr:x>
      <cdr:y>0.75503</cdr:y>
    </cdr:to>
    <cdr:sp macro="" textlink="">
      <cdr:nvSpPr>
        <cdr:cNvPr id="2" name="TextBox 1"/>
        <cdr:cNvSpPr txBox="1"/>
      </cdr:nvSpPr>
      <cdr:spPr>
        <a:xfrm xmlns:a="http://schemas.openxmlformats.org/drawingml/2006/main">
          <a:off x="666750" y="3638550"/>
          <a:ext cx="914400" cy="29527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0.85714</cdr:x>
      <cdr:y>0.2596</cdr:y>
    </cdr:from>
    <cdr:to>
      <cdr:x>1</cdr:x>
      <cdr:y>0.31627</cdr:y>
    </cdr:to>
    <cdr:sp macro="" textlink="">
      <cdr:nvSpPr>
        <cdr:cNvPr id="3" name="TextBox 2"/>
        <cdr:cNvSpPr txBox="1"/>
      </cdr:nvSpPr>
      <cdr:spPr>
        <a:xfrm xmlns:a="http://schemas.openxmlformats.org/drawingml/2006/main">
          <a:off x="5486400" y="1352550"/>
          <a:ext cx="914400" cy="29527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0.11012</cdr:x>
      <cdr:y>0.72395</cdr:y>
    </cdr:from>
    <cdr:to>
      <cdr:x>0.18452</cdr:x>
      <cdr:y>0.77697</cdr:y>
    </cdr:to>
    <cdr:sp macro="" textlink="">
      <cdr:nvSpPr>
        <cdr:cNvPr id="4" name="TextBox 3"/>
        <cdr:cNvSpPr txBox="1"/>
      </cdr:nvSpPr>
      <cdr:spPr>
        <a:xfrm xmlns:a="http://schemas.openxmlformats.org/drawingml/2006/main">
          <a:off x="704850" y="3771900"/>
          <a:ext cx="476250" cy="27622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100"/>
            <a:t>0.72</a:t>
          </a:r>
        </a:p>
      </cdr:txBody>
    </cdr:sp>
  </cdr:relSizeAnchor>
  <cdr:relSizeAnchor xmlns:cdr="http://schemas.openxmlformats.org/drawingml/2006/chartDrawing">
    <cdr:from>
      <cdr:x>0.2872</cdr:x>
      <cdr:y>0.73492</cdr:y>
    </cdr:from>
    <cdr:to>
      <cdr:x>0.3631</cdr:x>
      <cdr:y>0.78793</cdr:y>
    </cdr:to>
    <cdr:sp macro="" textlink="">
      <cdr:nvSpPr>
        <cdr:cNvPr id="5" name="TextBox 4"/>
        <cdr:cNvSpPr txBox="1"/>
      </cdr:nvSpPr>
      <cdr:spPr>
        <a:xfrm xmlns:a="http://schemas.openxmlformats.org/drawingml/2006/main">
          <a:off x="1838325" y="3829050"/>
          <a:ext cx="485775" cy="27622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100"/>
            <a:t>0.67</a:t>
          </a:r>
        </a:p>
      </cdr:txBody>
    </cdr:sp>
  </cdr:relSizeAnchor>
  <cdr:relSizeAnchor xmlns:cdr="http://schemas.openxmlformats.org/drawingml/2006/chartDrawing">
    <cdr:from>
      <cdr:x>0.45032</cdr:x>
      <cdr:y>0.74997</cdr:y>
    </cdr:from>
    <cdr:to>
      <cdr:x>0.52919</cdr:x>
      <cdr:y>0.8103</cdr:y>
    </cdr:to>
    <cdr:sp macro="" textlink="">
      <cdr:nvSpPr>
        <cdr:cNvPr id="6" name="TextBox 5"/>
        <cdr:cNvSpPr txBox="1"/>
      </cdr:nvSpPr>
      <cdr:spPr>
        <a:xfrm xmlns:a="http://schemas.openxmlformats.org/drawingml/2006/main">
          <a:off x="2676505" y="3628352"/>
          <a:ext cx="468772" cy="291878"/>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100"/>
            <a:t>0.55</a:t>
          </a:r>
        </a:p>
      </cdr:txBody>
    </cdr:sp>
  </cdr:relSizeAnchor>
  <cdr:relSizeAnchor xmlns:cdr="http://schemas.openxmlformats.org/drawingml/2006/chartDrawing">
    <cdr:from>
      <cdr:x>0.61973</cdr:x>
      <cdr:y>0.14865</cdr:y>
    </cdr:from>
    <cdr:to>
      <cdr:x>0.69265</cdr:x>
      <cdr:y>0.19984</cdr:y>
    </cdr:to>
    <cdr:sp macro="" textlink="">
      <cdr:nvSpPr>
        <cdr:cNvPr id="7" name="TextBox 6"/>
        <cdr:cNvSpPr txBox="1"/>
      </cdr:nvSpPr>
      <cdr:spPr>
        <a:xfrm xmlns:a="http://schemas.openxmlformats.org/drawingml/2006/main">
          <a:off x="3683439" y="719148"/>
          <a:ext cx="433408" cy="247658"/>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100"/>
            <a:t>4.28</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445</TotalTime>
  <Pages>13</Pages>
  <Words>1250</Words>
  <Characters>7125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8359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Little</dc:creator>
  <cp:keywords/>
  <dc:description/>
  <cp:lastModifiedBy>Michael Little</cp:lastModifiedBy>
  <cp:revision>37</cp:revision>
  <cp:lastPrinted>2014-03-19T22:56:00Z</cp:lastPrinted>
  <dcterms:created xsi:type="dcterms:W3CDTF">2014-03-14T19:10:00Z</dcterms:created>
  <dcterms:modified xsi:type="dcterms:W3CDTF">2014-03-20T00:13:00Z</dcterms:modified>
</cp:coreProperties>
</file>